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4F890" w14:textId="5B41ABFF" w:rsidR="00C81D0F" w:rsidRPr="001F431D" w:rsidRDefault="00C81D0F" w:rsidP="00C81D0F">
      <w:pPr>
        <w:pStyle w:val="EinfAbs"/>
        <w:spacing w:line="240" w:lineRule="auto"/>
        <w:rPr>
          <w:rFonts w:ascii="Arial" w:hAnsi="Arial" w:cs="Arial"/>
          <w:b/>
          <w:color w:val="C94059"/>
          <w:sz w:val="52"/>
          <w:szCs w:val="52"/>
          <w:lang w:val="en-US"/>
        </w:rPr>
        <w:sectPr w:rsidR="00C81D0F" w:rsidRPr="001F431D" w:rsidSect="00C81D0F">
          <w:headerReference w:type="default" r:id="rId7"/>
          <w:footerReference w:type="even" r:id="rId8"/>
          <w:footerReference w:type="default" r:id="rId9"/>
          <w:type w:val="continuous"/>
          <w:pgSz w:w="11910" w:h="16840"/>
          <w:pgMar w:top="2835" w:right="1701" w:bottom="816" w:left="1418" w:header="720" w:footer="11" w:gutter="0"/>
          <w:cols w:space="291"/>
        </w:sectPr>
      </w:pPr>
      <w:r w:rsidRPr="001F431D">
        <w:rPr>
          <w:rFonts w:ascii="Arial" w:hAnsi="Arial" w:cs="Arial"/>
          <w:b/>
          <w:color w:val="C94059"/>
          <w:sz w:val="52"/>
          <w:szCs w:val="52"/>
          <w:lang w:val="en-US"/>
        </w:rPr>
        <w:t>Consensus on molecular imaging and theranostics in prostate cancer</w:t>
      </w:r>
    </w:p>
    <w:p w14:paraId="7279F9DF" w14:textId="6D1A888E" w:rsidR="00C81D0F" w:rsidRPr="001F431D" w:rsidRDefault="00C81D0F" w:rsidP="001F431D">
      <w:pPr>
        <w:autoSpaceDE w:val="0"/>
        <w:autoSpaceDN w:val="0"/>
        <w:spacing w:before="181" w:line="271" w:lineRule="auto"/>
        <w:rPr>
          <w:rFonts w:ascii="Georgia" w:eastAsia="Georgia" w:hAnsi="Georgia" w:cs="Georgia"/>
          <w:i/>
          <w:color w:val="262626" w:themeColor="text1" w:themeTint="D9"/>
          <w:sz w:val="18"/>
          <w:szCs w:val="18"/>
          <w:lang w:val="en-GB" w:eastAsia="en-GB" w:bidi="en-GB"/>
        </w:rPr>
      </w:pPr>
      <w:r w:rsidRPr="001F431D">
        <w:rPr>
          <w:rFonts w:ascii="Georgia" w:eastAsia="Georgia" w:hAnsi="Georgia" w:cs="Georgia"/>
          <w:i/>
          <w:color w:val="262626" w:themeColor="text1" w:themeTint="D9"/>
          <w:sz w:val="18"/>
          <w:szCs w:val="18"/>
          <w:lang w:val="en-GB" w:eastAsia="en-GB" w:bidi="en-GB"/>
        </w:rPr>
        <w:t>Stefano Fanti, Silvia Minozzi, Gerald Antoch, Ian Banks, Alberto Briganti, Ignasi Carrio, Arturo Chiti, Noel Clarke, Matthias Eiber, Johann De Bono, Karim Fizazi, Silke Gillessen, Sam Gledhill, Uwe Haberkorn, Ken Herrmann, Rodney J Hicks, Frederic Lecouvet, Rodolfo Montironi, Piet Ost,</w:t>
      </w:r>
      <w:r w:rsidR="001F431D" w:rsidRPr="001F431D">
        <w:rPr>
          <w:rFonts w:ascii="Georgia" w:eastAsia="Georgia" w:hAnsi="Georgia" w:cs="Georgia"/>
          <w:i/>
          <w:color w:val="262626" w:themeColor="text1" w:themeTint="D9"/>
          <w:sz w:val="18"/>
          <w:szCs w:val="18"/>
          <w:lang w:val="en-GB" w:eastAsia="en-GB" w:bidi="en-GB"/>
        </w:rPr>
        <w:t xml:space="preserve"> </w:t>
      </w:r>
      <w:r w:rsidRPr="001F431D">
        <w:rPr>
          <w:rFonts w:ascii="Georgia" w:eastAsia="Georgia" w:hAnsi="Georgia" w:cs="Georgia"/>
          <w:i/>
          <w:color w:val="262626" w:themeColor="text1" w:themeTint="D9"/>
          <w:sz w:val="18"/>
          <w:szCs w:val="18"/>
          <w:lang w:val="en-GB" w:eastAsia="en-GB" w:bidi="en-GB"/>
        </w:rPr>
        <w:t>Joe M O’Sullivan, Anwar R Padhani, Jack A Schalken, Howard I Scher, Bertrand Tombal, R Jeroen A van Moorselaar, Heindrik Van Poppel, Hebert Alberto Vargas, Jochen Walz, Wolfgang AWeber, Hans-Jürgen Wester, Wim J G Oyen</w:t>
      </w:r>
    </w:p>
    <w:p w14:paraId="44EE7193" w14:textId="0A87E93A" w:rsidR="001F431D" w:rsidRDefault="001F431D" w:rsidP="00C81D0F">
      <w:pPr>
        <w:autoSpaceDE w:val="0"/>
        <w:autoSpaceDN w:val="0"/>
        <w:spacing w:line="271" w:lineRule="auto"/>
        <w:rPr>
          <w:rFonts w:ascii="Georgia" w:eastAsia="Georgia" w:hAnsi="Georgia" w:cs="Georgia"/>
          <w:i/>
          <w:color w:val="272154"/>
          <w:sz w:val="18"/>
          <w:szCs w:val="18"/>
          <w:lang w:val="en-GB" w:eastAsia="en-GB" w:bidi="en-GB"/>
        </w:rPr>
      </w:pPr>
    </w:p>
    <w:p w14:paraId="2516553A" w14:textId="3685B602" w:rsidR="001F431D" w:rsidRPr="001F431D" w:rsidRDefault="009A7522" w:rsidP="001F431D">
      <w:pPr>
        <w:spacing w:before="139"/>
        <w:rPr>
          <w:rFonts w:ascii="Arial" w:hAnsi="Arial" w:cs="Arial"/>
          <w:b/>
          <w:color w:val="CA415A"/>
          <w:sz w:val="13"/>
        </w:rPr>
      </w:pPr>
      <w:r>
        <w:rPr>
          <w:rFonts w:ascii="Arial" w:hAnsi="Arial" w:cs="Arial"/>
          <w:b/>
          <w:i/>
          <w:noProof/>
          <w:color w:val="CA415A"/>
          <w:sz w:val="13"/>
        </w:rPr>
        <mc:AlternateContent>
          <mc:Choice Requires="wps">
            <w:drawing>
              <wp:anchor distT="0" distB="0" distL="114300" distR="114300" simplePos="0" relativeHeight="251659264" behindDoc="0" locked="0" layoutInCell="1" allowOverlap="1" wp14:anchorId="77E957FA" wp14:editId="57D820D9">
                <wp:simplePos x="0" y="0"/>
                <wp:positionH relativeFrom="column">
                  <wp:posOffset>-76864</wp:posOffset>
                </wp:positionH>
                <wp:positionV relativeFrom="paragraph">
                  <wp:posOffset>193704</wp:posOffset>
                </wp:positionV>
                <wp:extent cx="5689600" cy="0"/>
                <wp:effectExtent l="0" t="0" r="12700" b="12700"/>
                <wp:wrapNone/>
                <wp:docPr id="2" name="Gerade Verbindung 2"/>
                <wp:cNvGraphicFramePr/>
                <a:graphic xmlns:a="http://schemas.openxmlformats.org/drawingml/2006/main">
                  <a:graphicData uri="http://schemas.microsoft.com/office/word/2010/wordprocessingShape">
                    <wps:wsp>
                      <wps:cNvCnPr/>
                      <wps:spPr>
                        <a:xfrm>
                          <a:off x="0" y="0"/>
                          <a:ext cx="5689600" cy="0"/>
                        </a:xfrm>
                        <a:prstGeom prst="line">
                          <a:avLst/>
                        </a:prstGeom>
                        <a:ln>
                          <a:solidFill>
                            <a:srgbClr val="CA41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7E174" id="Gerade Verbindung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5.25pt" to="441.9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" strokecolor="#ca415a"/>
            </w:pict>
          </mc:Fallback>
        </mc:AlternateContent>
      </w:r>
      <w:r>
        <w:rPr>
          <w:rFonts w:ascii="Arial" w:hAnsi="Arial" w:cs="Arial"/>
          <w:b/>
          <w:i/>
          <w:noProof/>
          <w:color w:val="CA415A"/>
          <w:sz w:val="13"/>
        </w:rPr>
        <mc:AlternateContent>
          <mc:Choice Requires="wps">
            <w:drawing>
              <wp:anchor distT="0" distB="0" distL="114300" distR="114300" simplePos="0" relativeHeight="251657215" behindDoc="1" locked="0" layoutInCell="1" allowOverlap="1" wp14:anchorId="46467A0C" wp14:editId="27703FAD">
                <wp:simplePos x="0" y="0"/>
                <wp:positionH relativeFrom="column">
                  <wp:posOffset>-77469</wp:posOffset>
                </wp:positionH>
                <wp:positionV relativeFrom="paragraph">
                  <wp:posOffset>194310</wp:posOffset>
                </wp:positionV>
                <wp:extent cx="5689844" cy="2307102"/>
                <wp:effectExtent l="0" t="0" r="0" b="4445"/>
                <wp:wrapNone/>
                <wp:docPr id="1" name="Rechteck 1"/>
                <wp:cNvGraphicFramePr/>
                <a:graphic xmlns:a="http://schemas.openxmlformats.org/drawingml/2006/main">
                  <a:graphicData uri="http://schemas.microsoft.com/office/word/2010/wordprocessingShape">
                    <wps:wsp>
                      <wps:cNvSpPr/>
                      <wps:spPr>
                        <a:xfrm>
                          <a:off x="0" y="0"/>
                          <a:ext cx="5689844" cy="2307102"/>
                        </a:xfrm>
                        <a:prstGeom prst="rect">
                          <a:avLst/>
                        </a:prstGeom>
                        <a:solidFill>
                          <a:srgbClr val="F4D9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C706A" id="Rechteck 1" o:spid="_x0000_s1026" style="position:absolute;margin-left:-6.1pt;margin-top:15.3pt;width:448pt;height:181.6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" fillcolor="#f4d9de" stroked="f" strokeweight="2pt"/>
            </w:pict>
          </mc:Fallback>
        </mc:AlternateContent>
      </w:r>
      <w:r w:rsidR="001F431D" w:rsidRPr="001F431D">
        <w:rPr>
          <w:rFonts w:ascii="Arial" w:hAnsi="Arial" w:cs="Arial"/>
          <w:b/>
          <w:i/>
          <w:color w:val="CA415A"/>
          <w:w w:val="90"/>
          <w:sz w:val="13"/>
        </w:rPr>
        <w:t xml:space="preserve">Lancet Oncol </w:t>
      </w:r>
      <w:r w:rsidR="001F431D" w:rsidRPr="001F431D">
        <w:rPr>
          <w:rFonts w:ascii="Arial" w:hAnsi="Arial" w:cs="Arial"/>
          <w:b/>
          <w:color w:val="CA415A"/>
          <w:w w:val="90"/>
          <w:sz w:val="13"/>
        </w:rPr>
        <w:t xml:space="preserve">2018; </w:t>
      </w:r>
      <w:r w:rsidR="001F431D" w:rsidRPr="001F431D">
        <w:rPr>
          <w:rFonts w:ascii="Arial" w:hAnsi="Arial" w:cs="Arial"/>
          <w:b/>
          <w:color w:val="CA415A"/>
          <w:sz w:val="13"/>
        </w:rPr>
        <w:t>19: e696–708</w:t>
      </w:r>
    </w:p>
    <w:p w14:paraId="315C2BF4" w14:textId="1ED98FD2" w:rsidR="001F431D" w:rsidRPr="001F431D" w:rsidRDefault="001F431D" w:rsidP="001F431D">
      <w:pPr>
        <w:spacing w:before="82" w:line="280" w:lineRule="auto"/>
        <w:ind w:right="71"/>
        <w:jc w:val="both"/>
        <w:rPr>
          <w:rFonts w:ascii="Arial Narrow" w:hAnsi="Arial Narrow" w:cs="Times New Roman (Textkörper CS)"/>
          <w:sz w:val="13"/>
        </w:rPr>
      </w:pPr>
      <w:r w:rsidRPr="001F431D">
        <w:rPr>
          <w:rFonts w:ascii="Arial Narrow" w:hAnsi="Arial Narrow" w:cs="Times New Roman (Textkörper CS)"/>
          <w:b/>
          <w:sz w:val="13"/>
        </w:rPr>
        <w:t>Nuclear Medicine Division, Policlinico S Orsola, University of Bologna, Bologna, Italy</w:t>
      </w:r>
      <w:r w:rsidRPr="001F431D">
        <w:rPr>
          <w:rFonts w:ascii="Arial Narrow" w:hAnsi="Arial Narrow" w:cs="Times New Roman (Textkörper CS)"/>
          <w:sz w:val="13"/>
        </w:rPr>
        <w:t xml:space="preserve"> (Prof S Fanti MD); </w:t>
      </w:r>
      <w:r w:rsidRPr="001F431D">
        <w:rPr>
          <w:rFonts w:ascii="Arial Narrow" w:hAnsi="Arial Narrow" w:cs="Times New Roman (Textkörper CS)"/>
          <w:b/>
          <w:sz w:val="13"/>
        </w:rPr>
        <w:t>Department of Epidemiology, Lazio Regional Health Service, Rome, Italy</w:t>
      </w:r>
      <w:r w:rsidRPr="001F431D">
        <w:rPr>
          <w:rFonts w:ascii="Arial Narrow" w:hAnsi="Arial Narrow" w:cs="Times New Roman (Textkörper CS)"/>
          <w:sz w:val="13"/>
        </w:rPr>
        <w:t xml:space="preserve"> (S Minozzi MD); </w:t>
      </w:r>
      <w:r w:rsidRPr="001F431D">
        <w:rPr>
          <w:rFonts w:ascii="Arial Narrow" w:hAnsi="Arial Narrow" w:cs="Times New Roman (Textkörper CS)"/>
          <w:b/>
          <w:sz w:val="13"/>
        </w:rPr>
        <w:t>Department of Diagnostic and Interventional Radiology, Medical Faculty, University of Dusseldorf, Dusseldorf, Germany</w:t>
      </w:r>
      <w:r w:rsidRPr="001F431D">
        <w:rPr>
          <w:rFonts w:ascii="Arial Narrow" w:hAnsi="Arial Narrow" w:cs="Times New Roman (Textkörper CS)"/>
          <w:sz w:val="13"/>
        </w:rPr>
        <w:t xml:space="preserve"> (Prof G Antoch MD); </w:t>
      </w:r>
      <w:r w:rsidRPr="001F431D">
        <w:rPr>
          <w:rFonts w:ascii="Arial Narrow" w:hAnsi="Arial Narrow" w:cs="Times New Roman (Textkörper CS)"/>
          <w:b/>
          <w:sz w:val="13"/>
        </w:rPr>
        <w:t xml:space="preserve">European </w:t>
      </w:r>
      <w:bookmarkStart w:id="0" w:name="_GoBack"/>
      <w:bookmarkEnd w:id="0"/>
      <w:r w:rsidRPr="001F431D">
        <w:rPr>
          <w:rFonts w:ascii="Arial Narrow" w:hAnsi="Arial Narrow" w:cs="Times New Roman (Textkörper CS)"/>
          <w:b/>
          <w:sz w:val="13"/>
        </w:rPr>
        <w:t>Cancer Organisation and European Men’s Health Forum, Ulster, UK</w:t>
      </w:r>
      <w:r w:rsidRPr="001F431D">
        <w:rPr>
          <w:rFonts w:ascii="Arial Narrow" w:hAnsi="Arial Narrow" w:cs="Times New Roman (Textkörper CS)"/>
          <w:sz w:val="13"/>
        </w:rPr>
        <w:t xml:space="preserve"> (Prof I Banks PhD); </w:t>
      </w:r>
      <w:r w:rsidRPr="001F431D">
        <w:rPr>
          <w:rFonts w:ascii="Arial Narrow" w:hAnsi="Arial Narrow" w:cs="Times New Roman (Textkörper CS)"/>
          <w:b/>
          <w:sz w:val="13"/>
        </w:rPr>
        <w:t>Division of Oncology and Unit of Urology, Urological Research Institute, Istituto di Ricovero e Cura Carattere Scientifico Ospedale San Raffaele, Milan, Italy</w:t>
      </w:r>
      <w:r w:rsidRPr="001F431D">
        <w:rPr>
          <w:rFonts w:ascii="Arial Narrow" w:hAnsi="Arial Narrow" w:cs="Times New Roman (Textkörper CS)"/>
          <w:sz w:val="13"/>
        </w:rPr>
        <w:t xml:space="preserve"> (A Briganti PhD); </w:t>
      </w:r>
      <w:r w:rsidRPr="001F431D">
        <w:rPr>
          <w:rFonts w:ascii="Arial Narrow" w:hAnsi="Arial Narrow" w:cs="Times New Roman (Textkörper CS)"/>
          <w:b/>
          <w:sz w:val="13"/>
        </w:rPr>
        <w:t>Department of Nuclear Medicine, Hospital de la Santa Creu i Sant Pau, Barcelona, Spain</w:t>
      </w:r>
      <w:r w:rsidRPr="001F431D">
        <w:rPr>
          <w:rFonts w:ascii="Arial Narrow" w:hAnsi="Arial Narrow" w:cs="Times New Roman (Textkörper CS)"/>
          <w:sz w:val="13"/>
        </w:rPr>
        <w:t xml:space="preserve"> (I Carrio MD); </w:t>
      </w:r>
      <w:r w:rsidRPr="001F431D">
        <w:rPr>
          <w:rFonts w:ascii="Arial Narrow" w:hAnsi="Arial Narrow" w:cs="Times New Roman (Textkörper CS)"/>
          <w:b/>
          <w:sz w:val="13"/>
        </w:rPr>
        <w:t>Humanitas University and Humanitas Research Hospital, Milan, Italy</w:t>
      </w:r>
      <w:r w:rsidRPr="001F431D">
        <w:rPr>
          <w:rFonts w:ascii="Arial Narrow" w:hAnsi="Arial Narrow" w:cs="Times New Roman (Textkörper CS)"/>
          <w:sz w:val="13"/>
        </w:rPr>
        <w:t xml:space="preserve"> (A Chiti MD); </w:t>
      </w:r>
      <w:r w:rsidRPr="001F431D">
        <w:rPr>
          <w:rFonts w:ascii="Arial Narrow" w:hAnsi="Arial Narrow" w:cs="Times New Roman (Textkörper CS)"/>
          <w:b/>
          <w:sz w:val="13"/>
        </w:rPr>
        <w:t>The Christie Hospital, Manchester, UK</w:t>
      </w:r>
      <w:r w:rsidRPr="001F431D">
        <w:rPr>
          <w:rFonts w:ascii="Arial Narrow" w:hAnsi="Arial Narrow" w:cs="Times New Roman (Textkörper CS)"/>
          <w:sz w:val="13"/>
        </w:rPr>
        <w:t xml:space="preserve"> (Prof N Clarke ChM); </w:t>
      </w:r>
      <w:r w:rsidRPr="001F431D">
        <w:rPr>
          <w:rFonts w:ascii="Arial Narrow" w:hAnsi="Arial Narrow" w:cs="Times New Roman (Textkörper CS)"/>
          <w:b/>
          <w:sz w:val="13"/>
        </w:rPr>
        <w:t>Department of Nuclear Medicine, Klinikum rechts der Isar, Technische Universität München, Munich, Germany</w:t>
      </w:r>
      <w:r w:rsidRPr="001F431D">
        <w:rPr>
          <w:rFonts w:ascii="Arial Narrow" w:hAnsi="Arial Narrow" w:cs="Times New Roman (Textkörper CS)"/>
          <w:sz w:val="13"/>
        </w:rPr>
        <w:t xml:space="preserve"> (M Eiber MD, Prof W A Weber MD); </w:t>
      </w:r>
      <w:r w:rsidRPr="001F431D">
        <w:rPr>
          <w:rFonts w:ascii="Arial Narrow" w:hAnsi="Arial Narrow" w:cs="Times New Roman (Textkörper CS)"/>
          <w:b/>
          <w:sz w:val="13"/>
        </w:rPr>
        <w:t>The Institute of Cancer Research, London, UK</w:t>
      </w:r>
      <w:r w:rsidRPr="001F431D">
        <w:rPr>
          <w:rFonts w:ascii="Arial Narrow" w:hAnsi="Arial Narrow" w:cs="Times New Roman (Textkörper CS)"/>
          <w:sz w:val="13"/>
        </w:rPr>
        <w:t xml:space="preserve"> (J De Bono PhD); </w:t>
      </w:r>
      <w:r w:rsidRPr="001F431D">
        <w:rPr>
          <w:rFonts w:ascii="Arial Narrow" w:hAnsi="Arial Narrow" w:cs="Times New Roman (Textkörper CS)"/>
          <w:b/>
          <w:sz w:val="13"/>
        </w:rPr>
        <w:t>Department of Cancer Medicine, Institut Gustave Roussy, Paris, France</w:t>
      </w:r>
      <w:r w:rsidRPr="001F431D">
        <w:rPr>
          <w:rFonts w:ascii="Arial Narrow" w:hAnsi="Arial Narrow" w:cs="Times New Roman (Textkörper CS)"/>
          <w:sz w:val="13"/>
        </w:rPr>
        <w:t xml:space="preserve"> (K Fizazi MD); </w:t>
      </w:r>
      <w:r w:rsidRPr="001F431D">
        <w:rPr>
          <w:rFonts w:ascii="Arial Narrow" w:hAnsi="Arial Narrow" w:cs="Times New Roman (Textkörper CS)"/>
          <w:b/>
          <w:sz w:val="13"/>
        </w:rPr>
        <w:t>Division of Cancer Sciences, University of Manchester and The Christie Hospital, Manchester, UK</w:t>
      </w:r>
      <w:r w:rsidRPr="001F431D">
        <w:rPr>
          <w:rFonts w:ascii="Arial Narrow" w:hAnsi="Arial Narrow" w:cs="Times New Roman (Textkörper CS)"/>
          <w:sz w:val="13"/>
        </w:rPr>
        <w:t xml:space="preserve"> (Prof S Gillessen MD); </w:t>
      </w:r>
      <w:r w:rsidRPr="001F431D">
        <w:rPr>
          <w:rFonts w:ascii="Arial Narrow" w:hAnsi="Arial Narrow" w:cs="Times New Roman (Textkörper CS)"/>
          <w:b/>
          <w:sz w:val="13"/>
        </w:rPr>
        <w:t>Division of Oncology and Division of Haematology, Kantonsspital St Gallen and University of Bern, Bern, Switzerland</w:t>
      </w:r>
      <w:r w:rsidRPr="001F431D">
        <w:rPr>
          <w:rFonts w:ascii="Arial Narrow" w:hAnsi="Arial Narrow" w:cs="Times New Roman (Textkörper CS)"/>
          <w:sz w:val="13"/>
        </w:rPr>
        <w:t xml:space="preserve"> (Prof S Gillessen); </w:t>
      </w:r>
      <w:r w:rsidRPr="001F431D">
        <w:rPr>
          <w:rFonts w:ascii="Arial Narrow" w:hAnsi="Arial Narrow" w:cs="Times New Roman (Textkörper CS)"/>
          <w:b/>
          <w:sz w:val="13"/>
        </w:rPr>
        <w:t>Movember Foundation, Melbourne, VIC, Australia</w:t>
      </w:r>
      <w:r w:rsidRPr="001F431D">
        <w:rPr>
          <w:rFonts w:ascii="Arial Narrow" w:hAnsi="Arial Narrow" w:cs="Times New Roman (Textkörper CS)"/>
          <w:sz w:val="13"/>
        </w:rPr>
        <w:t xml:space="preserve"> (S Gledhill MBA); </w:t>
      </w:r>
      <w:r w:rsidRPr="001F431D">
        <w:rPr>
          <w:rFonts w:ascii="Arial Narrow" w:hAnsi="Arial Narrow" w:cs="Times New Roman (Textkörper CS)"/>
          <w:b/>
          <w:sz w:val="13"/>
        </w:rPr>
        <w:t>Department of Nuclear Medicine and German Cancer Research Center Heidelberg, University Hospital Heidelberg, Heidelberg, Germany</w:t>
      </w:r>
      <w:r w:rsidRPr="001F431D">
        <w:rPr>
          <w:rFonts w:ascii="Arial Narrow" w:hAnsi="Arial Narrow" w:cs="Times New Roman (Textkörper CS)"/>
          <w:sz w:val="13"/>
        </w:rPr>
        <w:t xml:space="preserve"> (Prof U Haberkorn PhD); </w:t>
      </w:r>
      <w:r w:rsidRPr="001F431D">
        <w:rPr>
          <w:rFonts w:ascii="Arial Narrow" w:hAnsi="Arial Narrow" w:cs="Times New Roman (Textkörper CS)"/>
          <w:b/>
          <w:sz w:val="13"/>
        </w:rPr>
        <w:t>Department of Nuclear Medicine, Universitätsklinikum Essen, Essen, Germany</w:t>
      </w:r>
      <w:r w:rsidRPr="001F431D">
        <w:rPr>
          <w:rFonts w:ascii="Arial Narrow" w:hAnsi="Arial Narrow" w:cs="Times New Roman (Textkörper CS)"/>
          <w:sz w:val="13"/>
        </w:rPr>
        <w:t xml:space="preserve"> (K Herrmann MD); </w:t>
      </w:r>
      <w:r w:rsidRPr="001F431D">
        <w:rPr>
          <w:rFonts w:ascii="Arial Narrow" w:hAnsi="Arial Narrow" w:cs="Times New Roman (Textkörper CS)"/>
          <w:b/>
          <w:sz w:val="13"/>
        </w:rPr>
        <w:t>Cancer Imaging, Peter MacCallum Cancer Institute, Melbourne, VIC, Australia</w:t>
      </w:r>
      <w:r w:rsidRPr="001F431D">
        <w:rPr>
          <w:rFonts w:ascii="Arial Narrow" w:hAnsi="Arial Narrow" w:cs="Times New Roman (Textkörper CS)"/>
          <w:sz w:val="13"/>
        </w:rPr>
        <w:t xml:space="preserve"> (R J Hicks MD); </w:t>
      </w:r>
      <w:r w:rsidRPr="001F431D">
        <w:rPr>
          <w:rFonts w:ascii="Arial Narrow" w:hAnsi="Arial Narrow" w:cs="Times New Roman (Textkörper CS)"/>
          <w:b/>
          <w:sz w:val="13"/>
        </w:rPr>
        <w:t>Institut de Recherche Expérimentale et Clinique, Cliniques Universitaires Saint-Luc, Université catholique de Louvain, Brussels, Belgium</w:t>
      </w:r>
      <w:r w:rsidRPr="001F431D">
        <w:rPr>
          <w:rFonts w:ascii="Arial Narrow" w:hAnsi="Arial Narrow" w:cs="Times New Roman (Textkörper CS)"/>
          <w:sz w:val="13"/>
        </w:rPr>
        <w:t xml:space="preserve"> (Prof F E Lecouvet PhD, BTombal PhD); </w:t>
      </w:r>
      <w:r w:rsidRPr="001F431D">
        <w:rPr>
          <w:rFonts w:ascii="Arial Narrow" w:hAnsi="Arial Narrow" w:cs="Times New Roman (Textkörper CS)"/>
          <w:b/>
          <w:sz w:val="13"/>
        </w:rPr>
        <w:t>Genitourinary Cancer Program, Institute of Pathological Anatomy and Histopathology, Polytechnic University of the Marche Region, Ancona, Italy</w:t>
      </w:r>
      <w:r w:rsidRPr="001F431D">
        <w:rPr>
          <w:rFonts w:ascii="Arial Narrow" w:hAnsi="Arial Narrow" w:cs="Times New Roman (Textkörper CS)"/>
          <w:sz w:val="13"/>
        </w:rPr>
        <w:t xml:space="preserve"> (Prof R Montironi MD); </w:t>
      </w:r>
      <w:r w:rsidRPr="001F431D">
        <w:rPr>
          <w:rFonts w:ascii="Arial Narrow" w:hAnsi="Arial Narrow" w:cs="Times New Roman (Textkörper CS)"/>
          <w:b/>
          <w:sz w:val="13"/>
        </w:rPr>
        <w:t>Genitourinary Program, Ghent University Hospital, Ghent, Belgium</w:t>
      </w:r>
      <w:r w:rsidRPr="001F431D">
        <w:rPr>
          <w:rFonts w:ascii="Arial Narrow" w:hAnsi="Arial Narrow" w:cs="Times New Roman (Textkörper CS)"/>
          <w:sz w:val="13"/>
        </w:rPr>
        <w:t xml:space="preserve"> (Prof P Ost PhD); </w:t>
      </w:r>
      <w:r w:rsidRPr="001F431D">
        <w:rPr>
          <w:rFonts w:ascii="Arial Narrow" w:hAnsi="Arial Narrow" w:cs="Times New Roman (Textkörper CS)"/>
          <w:b/>
          <w:sz w:val="13"/>
        </w:rPr>
        <w:t xml:space="preserve">Department of Radiotherapy </w:t>
      </w:r>
      <w:bookmarkStart w:id="1" w:name="Data_collection"/>
      <w:bookmarkStart w:id="2" w:name="Panellist_selection"/>
      <w:bookmarkStart w:id="3" w:name="Search_strategy_and_selection_criteria"/>
      <w:bookmarkStart w:id="4" w:name="Questionnaire"/>
      <w:bookmarkEnd w:id="1"/>
      <w:bookmarkEnd w:id="2"/>
      <w:bookmarkEnd w:id="3"/>
      <w:bookmarkEnd w:id="4"/>
      <w:r w:rsidRPr="001F431D">
        <w:rPr>
          <w:rFonts w:ascii="Arial Narrow" w:hAnsi="Arial Narrow" w:cs="Times New Roman (Textkörper CS)"/>
          <w:b/>
          <w:sz w:val="13"/>
        </w:rPr>
        <w:t>and Experimental Cancer Research, Queen’s University, Belfast, UK</w:t>
      </w:r>
      <w:r w:rsidRPr="001F431D">
        <w:rPr>
          <w:rFonts w:ascii="Arial Narrow" w:hAnsi="Arial Narrow" w:cs="Times New Roman (Textkörper CS)"/>
          <w:sz w:val="13"/>
        </w:rPr>
        <w:t xml:space="preserve"> (J M O’Sullivan MD); </w:t>
      </w:r>
      <w:r w:rsidRPr="001F431D">
        <w:rPr>
          <w:rFonts w:ascii="Arial Narrow" w:hAnsi="Arial Narrow" w:cs="Times New Roman (Textkörper CS)"/>
          <w:b/>
          <w:sz w:val="13"/>
        </w:rPr>
        <w:t>Mount Vernon Cancer Centre, Mount Vernon Hospital, London, UK</w:t>
      </w:r>
      <w:r w:rsidRPr="001F431D">
        <w:rPr>
          <w:rFonts w:ascii="Arial Narrow" w:hAnsi="Arial Narrow" w:cs="Times New Roman (Textkörper CS)"/>
          <w:sz w:val="13"/>
        </w:rPr>
        <w:t xml:space="preserve"> (Prof A R Padhani FRCR); </w:t>
      </w:r>
      <w:r w:rsidRPr="001F431D">
        <w:rPr>
          <w:rFonts w:ascii="Arial Narrow" w:hAnsi="Arial Narrow" w:cs="Times New Roman (Textkörper CS)"/>
          <w:b/>
          <w:sz w:val="13"/>
        </w:rPr>
        <w:t>Department of Experimental Urology</w:t>
      </w:r>
      <w:r w:rsidRPr="001F431D">
        <w:rPr>
          <w:rFonts w:ascii="Arial Narrow" w:hAnsi="Arial Narrow" w:cs="Times New Roman (Textkörper CS)"/>
          <w:sz w:val="13"/>
        </w:rPr>
        <w:t xml:space="preserve"> (Prof J A Schalken PhD) </w:t>
      </w:r>
      <w:r w:rsidRPr="001F431D">
        <w:rPr>
          <w:rFonts w:ascii="Arial Narrow" w:hAnsi="Arial Narrow" w:cs="Times New Roman (Textkörper CS)"/>
          <w:b/>
          <w:sz w:val="13"/>
        </w:rPr>
        <w:t>and Department of Nuclear Medicine</w:t>
      </w:r>
      <w:r w:rsidRPr="001F431D">
        <w:rPr>
          <w:rFonts w:ascii="Arial Narrow" w:hAnsi="Arial Narrow" w:cs="Times New Roman (Textkörper CS)"/>
          <w:sz w:val="13"/>
        </w:rPr>
        <w:t xml:space="preserve"> (Prof W J G Oyen PhD), </w:t>
      </w:r>
      <w:r w:rsidRPr="001F431D">
        <w:rPr>
          <w:rFonts w:ascii="Arial Narrow" w:hAnsi="Arial Narrow" w:cs="Times New Roman (Textkörper CS)"/>
          <w:b/>
          <w:sz w:val="13"/>
        </w:rPr>
        <w:t>Radboud University Medical Centre, Nijmegen, Netherlands; Memorial Sloan Kettering Cancer Center, Weill Cornell Medical College, New York, NY, USA</w:t>
      </w:r>
      <w:r w:rsidRPr="001F431D">
        <w:rPr>
          <w:rFonts w:ascii="Arial Narrow" w:hAnsi="Arial Narrow" w:cs="Times New Roman (Textkörper CS)"/>
          <w:sz w:val="13"/>
        </w:rPr>
        <w:t xml:space="preserve"> (H I Scher MD, H A Vargas MD); </w:t>
      </w:r>
      <w:r w:rsidRPr="001F431D">
        <w:rPr>
          <w:rFonts w:ascii="Arial Narrow" w:hAnsi="Arial Narrow" w:cs="Times New Roman (Textkörper CS)"/>
          <w:b/>
          <w:sz w:val="13"/>
        </w:rPr>
        <w:t>Department of Urology, Vrije Universiteit University Medical Center, Amsterdam, Netherlands</w:t>
      </w:r>
      <w:r w:rsidRPr="001F431D">
        <w:rPr>
          <w:rFonts w:ascii="Arial Narrow" w:hAnsi="Arial Narrow" w:cs="Times New Roman (Textkörper CS)"/>
          <w:sz w:val="13"/>
        </w:rPr>
        <w:t xml:space="preserve"> (Prof R J A van Moorselaar MD); </w:t>
      </w:r>
      <w:r w:rsidRPr="001F431D">
        <w:rPr>
          <w:rFonts w:ascii="Arial Narrow" w:hAnsi="Arial Narrow" w:cs="Times New Roman (Textkörper CS)"/>
          <w:b/>
          <w:sz w:val="13"/>
        </w:rPr>
        <w:t>Urology, University Hospital Katholieke Universiteit Leuven, Leuven, Belgium</w:t>
      </w:r>
      <w:r w:rsidRPr="001F431D">
        <w:rPr>
          <w:rFonts w:ascii="Arial Narrow" w:hAnsi="Arial Narrow" w:cs="Times New Roman (Textkörper CS)"/>
          <w:sz w:val="13"/>
        </w:rPr>
        <w:t xml:space="preserve"> (Prof H Van Poppel MD); </w:t>
      </w:r>
      <w:r w:rsidRPr="001F431D">
        <w:rPr>
          <w:rFonts w:ascii="Arial Narrow" w:hAnsi="Arial Narrow" w:cs="Times New Roman (Textkörper CS)"/>
          <w:b/>
          <w:sz w:val="13"/>
        </w:rPr>
        <w:t>Department of Urology, Institut Paoli-Calmettes Cancer Centre, Marseille, France</w:t>
      </w:r>
      <w:r w:rsidRPr="001F431D">
        <w:rPr>
          <w:rFonts w:ascii="Arial Narrow" w:hAnsi="Arial Narrow" w:cs="Times New Roman (Textkörper CS)"/>
          <w:sz w:val="13"/>
        </w:rPr>
        <w:t xml:space="preserve"> (J Walz MD); </w:t>
      </w:r>
      <w:r w:rsidRPr="001F431D">
        <w:rPr>
          <w:rFonts w:ascii="Arial Narrow" w:hAnsi="Arial Narrow" w:cs="Times New Roman (Textkörper CS)"/>
          <w:b/>
          <w:sz w:val="13"/>
        </w:rPr>
        <w:t>Lehrstuhl für Pharmazeutische Radiochemie, Technische Universität München, Garching, Germany</w:t>
      </w:r>
      <w:r w:rsidRPr="001F431D">
        <w:rPr>
          <w:rFonts w:ascii="Arial Narrow" w:hAnsi="Arial Narrow" w:cs="Times New Roman (Textkörper CS)"/>
          <w:sz w:val="13"/>
        </w:rPr>
        <w:t xml:space="preserve"> (Prof H-J Wester PhD); </w:t>
      </w:r>
      <w:r w:rsidRPr="001F431D">
        <w:rPr>
          <w:rFonts w:ascii="Arial Narrow" w:hAnsi="Arial Narrow" w:cs="Times New Roman (Textkörper CS)"/>
          <w:b/>
          <w:sz w:val="13"/>
        </w:rPr>
        <w:t>and Department of Nuclear Medicine, The Institute of Cancer Research and The Royal Marsden National Health Service Foundation Trust, London, UK</w:t>
      </w:r>
      <w:r w:rsidRPr="001F431D">
        <w:rPr>
          <w:rFonts w:ascii="Arial Narrow" w:hAnsi="Arial Narrow" w:cs="Times New Roman (Textkörper CS)"/>
          <w:sz w:val="13"/>
        </w:rPr>
        <w:t xml:space="preserve"> (Prof W J G Oyen)</w:t>
      </w:r>
    </w:p>
    <w:p w14:paraId="35FADFCC" w14:textId="14BAF30A" w:rsidR="001F431D" w:rsidRDefault="001F431D" w:rsidP="001F431D">
      <w:pPr>
        <w:spacing w:line="280" w:lineRule="auto"/>
        <w:ind w:left="129" w:right="103"/>
        <w:rPr>
          <w:rFonts w:ascii="Arial"/>
          <w:b/>
          <w:sz w:val="13"/>
        </w:rPr>
      </w:pPr>
    </w:p>
    <w:p w14:paraId="1B0AFADD" w14:textId="1C7361F4" w:rsidR="001F431D" w:rsidRPr="001F431D" w:rsidRDefault="001F431D" w:rsidP="001F431D">
      <w:pPr>
        <w:autoSpaceDE w:val="0"/>
        <w:autoSpaceDN w:val="0"/>
        <w:spacing w:line="271" w:lineRule="auto"/>
        <w:rPr>
          <w:rFonts w:ascii="Georgia" w:eastAsia="Georgia" w:hAnsi="Georgia" w:cs="Georgia"/>
          <w:i/>
          <w:color w:val="272154"/>
          <w:sz w:val="18"/>
          <w:szCs w:val="18"/>
          <w:lang w:eastAsia="en-GB" w:bidi="en-GB"/>
        </w:rPr>
      </w:pPr>
    </w:p>
    <w:p w14:paraId="3AAC01F2" w14:textId="77777777" w:rsidR="00C81D0F" w:rsidRPr="001F431D" w:rsidRDefault="00C81D0F" w:rsidP="00C81D0F">
      <w:pPr>
        <w:autoSpaceDE w:val="0"/>
        <w:autoSpaceDN w:val="0"/>
        <w:spacing w:line="254" w:lineRule="auto"/>
        <w:jc w:val="both"/>
        <w:rPr>
          <w:rFonts w:ascii="Georgia" w:eastAsia="Georgia" w:hAnsi="Georgia" w:cs="Georgia"/>
          <w:sz w:val="18"/>
          <w:szCs w:val="18"/>
          <w:lang w:val="en-GB" w:eastAsia="en-GB" w:bidi="en-GB"/>
        </w:rPr>
      </w:pPr>
      <w:r w:rsidRPr="001F431D">
        <w:rPr>
          <w:rFonts w:ascii="Georgia" w:eastAsia="Georgia" w:hAnsi="Georgia" w:cs="Georgia"/>
          <w:sz w:val="18"/>
          <w:szCs w:val="18"/>
          <w:lang w:val="en-GB" w:eastAsia="en-GB" w:bidi="en-GB"/>
        </w:rPr>
        <w:t>Rapid developments in imaging and treatment with radiopharmaceuticals targeting prostate cancer pose issues for the development of guidelines for their appropriate use. To tackle this problem, international experts representing medical oncologists, urologists, radiation oncologists, radiologists, and nuclear medicine specialists convened at the European Association of Nuclear Medicine Focus 1 meeting to deliver a balanced perspective on available data and clinical experience of imaging in prostate cancer, which had been supported by a systematic review of the literature and a modified Delphi process. Relevant conclusions included the following: diphosphonate bone scanning and contrast-enhanced CT are mentioned but rarely recommended for most patients in clinical guidelines; MRI (whole-body or multiparametric) and prostate cancer-targeted PET are frequently suggested, but the specific contexts in which these methods affect practice are not established; sodium fluoride-18 for PET-CT bone scanning is not widely advocated, whereas gallium-68 or fluorine-18 prostate-specific membrane antigen gain acceptance; and, palliative treatment with bone targeting radiopharmaceuticals (rhenium-186, samarium-153, or strontium-89) have largely been replaced by radium-223 on the basis of the survival benefit that was reported in prospective trials, and by</w:t>
      </w:r>
      <w:bookmarkStart w:id="5" w:name="Introduction"/>
      <w:bookmarkEnd w:id="5"/>
      <w:r w:rsidRPr="001F431D">
        <w:rPr>
          <w:rFonts w:ascii="Georgia" w:eastAsia="Georgia" w:hAnsi="Georgia" w:cs="Georgia"/>
          <w:sz w:val="18"/>
          <w:szCs w:val="18"/>
          <w:lang w:val="en-GB" w:eastAsia="en-GB" w:bidi="en-GB"/>
        </w:rPr>
        <w:t xml:space="preserve"> other systemic therapies with proven survival benefits. Although the advances in MRI and PET-CT have improved the accuracy of imaging, the effects of these new methods on clinical outcomes remains to be established. Improved communication between imagers and clinicians and more multidisciplinary input in clinical trial design are essential to encourage imaging insights into clinical decision making.</w:t>
      </w:r>
    </w:p>
    <w:p w14:paraId="1240256D" w14:textId="6B9F889B" w:rsidR="00C81D0F" w:rsidRPr="00C81D0F" w:rsidRDefault="00C81D0F" w:rsidP="00C81D0F">
      <w:pPr>
        <w:pStyle w:val="EinfAbs"/>
        <w:rPr>
          <w:rFonts w:ascii="Georgia" w:hAnsi="Georgia" w:cs="Georgia"/>
          <w:color w:val="C94059"/>
          <w:sz w:val="18"/>
          <w:szCs w:val="18"/>
          <w:lang w:val="en-GB"/>
        </w:rPr>
        <w:sectPr w:rsidR="00C81D0F" w:rsidRPr="00C81D0F" w:rsidSect="00C81D0F">
          <w:type w:val="continuous"/>
          <w:pgSz w:w="11910" w:h="16840"/>
          <w:pgMar w:top="2835" w:right="1701" w:bottom="816" w:left="1418" w:header="720" w:footer="11" w:gutter="0"/>
          <w:cols w:space="291"/>
        </w:sectPr>
      </w:pPr>
    </w:p>
    <w:p w14:paraId="05CC3BFD" w14:textId="5B48C87C" w:rsidR="00C81D0F" w:rsidRPr="00C81D0F" w:rsidRDefault="00C81D0F" w:rsidP="00C81D0F">
      <w:pPr>
        <w:pStyle w:val="EinfAbs"/>
        <w:rPr>
          <w:rFonts w:ascii="Georgia" w:hAnsi="Georgia" w:cs="Georgia"/>
          <w:color w:val="C94059"/>
          <w:sz w:val="60"/>
          <w:szCs w:val="60"/>
          <w:lang w:val="en-US"/>
        </w:rPr>
      </w:pPr>
    </w:p>
    <w:p w14:paraId="0F58E667" w14:textId="730F96E1" w:rsidR="00C81D0F" w:rsidRDefault="00C81D0F">
      <w:pPr>
        <w:rPr>
          <w:rFonts w:ascii="Arial" w:eastAsia="Arial" w:hAnsi="Arial" w:cs="Arial"/>
          <w:b/>
          <w:bCs/>
          <w:color w:val="CA415A"/>
          <w:szCs w:val="19"/>
          <w:lang w:val="en-GB" w:eastAsia="en-GB" w:bidi="en-GB"/>
        </w:rPr>
      </w:pPr>
      <w:r>
        <w:br w:type="page"/>
      </w:r>
    </w:p>
    <w:p w14:paraId="5D81BA9D" w14:textId="7B989BCE" w:rsidR="00245612" w:rsidRPr="00245612" w:rsidRDefault="00245612" w:rsidP="00C94E0E">
      <w:pPr>
        <w:pStyle w:val="Headlines"/>
        <w:ind w:firstLine="0"/>
      </w:pPr>
      <w:r w:rsidRPr="00245612">
        <w:lastRenderedPageBreak/>
        <w:t>Introduction</w:t>
      </w:r>
    </w:p>
    <w:p w14:paraId="54E10109" w14:textId="2CBE0055" w:rsidR="00245612" w:rsidRPr="00245612" w:rsidRDefault="00245612" w:rsidP="00C94E0E">
      <w:pPr>
        <w:autoSpaceDE w:val="0"/>
        <w:autoSpaceDN w:val="0"/>
        <w:spacing w:before="8" w:line="240" w:lineRule="exact"/>
        <w:jc w:val="both"/>
        <w:rPr>
          <w:rFonts w:ascii="Georgia" w:eastAsia="Georgia" w:hAnsi="Georgia" w:cs="Georgia"/>
          <w:sz w:val="18"/>
          <w:szCs w:val="18"/>
          <w:lang w:val="en-GB" w:eastAsia="en-GB" w:bidi="en-GB"/>
        </w:rPr>
      </w:pPr>
      <w:r w:rsidRPr="00245612">
        <w:rPr>
          <w:rFonts w:ascii="Georgia" w:eastAsia="Georgia" w:hAnsi="Georgia" w:cs="Georgia"/>
          <w:sz w:val="18"/>
          <w:szCs w:val="18"/>
          <w:lang w:val="en-GB" w:eastAsia="en-GB" w:bidi="en-GB"/>
        </w:rPr>
        <w:t>Worldwide, more than 1 000 000 men are diagnosed with prostate cancer and over 300 000 men die from it annually,</w:t>
      </w:r>
      <w:r w:rsidRPr="00245612">
        <w:rPr>
          <w:rFonts w:ascii="Georgia" w:eastAsia="Georgia" w:hAnsi="Georgia" w:cs="Georgia"/>
          <w:position w:val="6"/>
          <w:sz w:val="9"/>
          <w:szCs w:val="18"/>
          <w:lang w:val="en-GB" w:eastAsia="en-GB" w:bidi="en-GB"/>
        </w:rPr>
        <w:t xml:space="preserve">1,2 </w:t>
      </w:r>
      <w:r w:rsidRPr="00245612">
        <w:rPr>
          <w:rFonts w:ascii="Georgia" w:eastAsia="Georgia" w:hAnsi="Georgia" w:cs="Georgia"/>
          <w:sz w:val="18"/>
          <w:szCs w:val="18"/>
          <w:lang w:val="en-GB" w:eastAsia="en-GB" w:bidi="en-GB"/>
        </w:rPr>
        <w:t>with an increasing incidence as a result of greater life expectancy.</w:t>
      </w:r>
      <w:r w:rsidRPr="00245612">
        <w:rPr>
          <w:rFonts w:ascii="Georgia" w:eastAsia="Georgia" w:hAnsi="Georgia" w:cs="Georgia"/>
          <w:position w:val="6"/>
          <w:sz w:val="9"/>
          <w:szCs w:val="18"/>
          <w:lang w:val="en-GB" w:eastAsia="en-GB" w:bidi="en-GB"/>
        </w:rPr>
        <w:t xml:space="preserve">3–5 </w:t>
      </w:r>
      <w:r w:rsidRPr="00245612">
        <w:rPr>
          <w:rFonts w:ascii="Georgia" w:eastAsia="Georgia" w:hAnsi="Georgia" w:cs="Georgia"/>
          <w:sz w:val="18"/>
          <w:szCs w:val="18"/>
          <w:lang w:val="en-GB" w:eastAsia="en-GB" w:bidi="en-GB"/>
        </w:rPr>
        <w:t>Developments in diagnosis and treatment of prostate cancer are evolving very rapidly, and the 5-year relative survival for patients has increased from 73·4% (95% CI 72·9–73·9) in 1999–2001 to 81·7%</w:t>
      </w:r>
    </w:p>
    <w:p w14:paraId="56F1949A" w14:textId="6303D44E" w:rsidR="00245612" w:rsidRPr="00245612" w:rsidRDefault="00245612" w:rsidP="00C94E0E">
      <w:pPr>
        <w:autoSpaceDE w:val="0"/>
        <w:autoSpaceDN w:val="0"/>
        <w:spacing w:line="240" w:lineRule="exact"/>
        <w:ind w:firstLine="142"/>
        <w:jc w:val="both"/>
        <w:rPr>
          <w:rFonts w:ascii="Georgia" w:eastAsia="Georgia" w:hAnsi="Georgia" w:cs="Georgia"/>
          <w:sz w:val="9"/>
          <w:szCs w:val="18"/>
          <w:lang w:val="en-GB" w:eastAsia="en-GB" w:bidi="en-GB"/>
        </w:rPr>
      </w:pPr>
      <w:r w:rsidRPr="00245612">
        <w:rPr>
          <w:rFonts w:ascii="Georgia" w:eastAsia="Georgia" w:hAnsi="Georgia" w:cs="Georgia"/>
          <w:sz w:val="18"/>
          <w:szCs w:val="18"/>
          <w:lang w:val="en-GB" w:eastAsia="en-GB" w:bidi="en-GB"/>
        </w:rPr>
        <w:t>(81·3–82·1) in 2005–07. With several clinical trials showing improved overall survival with new drugs, it is likely to further improve in the coming years.</w:t>
      </w:r>
      <w:r w:rsidRPr="00245612">
        <w:rPr>
          <w:rFonts w:ascii="Georgia" w:eastAsia="Georgia" w:hAnsi="Georgia" w:cs="Georgia"/>
          <w:position w:val="6"/>
          <w:sz w:val="9"/>
          <w:szCs w:val="18"/>
          <w:lang w:val="en-GB" w:eastAsia="en-GB" w:bidi="en-GB"/>
        </w:rPr>
        <w:t>4,6</w:t>
      </w:r>
    </w:p>
    <w:p w14:paraId="0CDECC16" w14:textId="52614966" w:rsidR="00245612" w:rsidRPr="00245612" w:rsidRDefault="00245612" w:rsidP="00C94E0E">
      <w:pPr>
        <w:autoSpaceDE w:val="0"/>
        <w:autoSpaceDN w:val="0"/>
        <w:spacing w:line="240" w:lineRule="exact"/>
        <w:ind w:firstLine="142"/>
        <w:jc w:val="both"/>
        <w:rPr>
          <w:rFonts w:ascii="Georgia" w:eastAsia="Georgia" w:hAnsi="Georgia" w:cs="Georgia"/>
          <w:sz w:val="18"/>
          <w:szCs w:val="18"/>
          <w:lang w:val="en-GB" w:eastAsia="en-GB" w:bidi="en-GB"/>
        </w:rPr>
      </w:pPr>
      <w:r w:rsidRPr="00245612">
        <w:rPr>
          <w:rFonts w:ascii="Georgia" w:eastAsia="Georgia" w:hAnsi="Georgia" w:cs="Georgia"/>
          <w:sz w:val="18"/>
          <w:szCs w:val="18"/>
          <w:lang w:val="en-GB" w:eastAsia="en-GB" w:bidi="en-GB"/>
        </w:rPr>
        <w:t>The costs of prostate cancer management are also increasing, with an overall cost in the EU of €8·43 billion for 2009.</w:t>
      </w:r>
      <w:r w:rsidRPr="00245612">
        <w:rPr>
          <w:rFonts w:ascii="Georgia" w:eastAsia="Georgia" w:hAnsi="Georgia" w:cs="Georgia"/>
          <w:position w:val="6"/>
          <w:sz w:val="9"/>
          <w:szCs w:val="18"/>
          <w:lang w:val="en-GB" w:eastAsia="en-GB" w:bidi="en-GB"/>
        </w:rPr>
        <w:t xml:space="preserve">7 </w:t>
      </w:r>
      <w:r w:rsidRPr="00245612">
        <w:rPr>
          <w:rFonts w:ascii="Georgia" w:eastAsia="Georgia" w:hAnsi="Georgia" w:cs="Georgia"/>
          <w:sz w:val="18"/>
          <w:szCs w:val="18"/>
          <w:lang w:val="en-GB" w:eastAsia="en-GB" w:bidi="en-GB"/>
        </w:rPr>
        <w:t>High costs underscore the need for improved communication and cooperation among the medical specialties involved in the diagnosis and treatment of patients with prostate cancer to generate pertinent data in clinical trials to facilitate the rational integration of imaging into clinical decision making.</w:t>
      </w:r>
    </w:p>
    <w:p w14:paraId="5A48304C" w14:textId="77777777" w:rsidR="00245612" w:rsidRPr="00245612" w:rsidRDefault="00245612" w:rsidP="00C94E0E">
      <w:pPr>
        <w:autoSpaceDE w:val="0"/>
        <w:autoSpaceDN w:val="0"/>
        <w:spacing w:line="240" w:lineRule="exact"/>
        <w:ind w:firstLine="142"/>
        <w:jc w:val="both"/>
        <w:rPr>
          <w:rFonts w:ascii="Georgia" w:eastAsia="Georgia" w:hAnsi="Georgia" w:cs="Georgia"/>
          <w:sz w:val="9"/>
          <w:szCs w:val="18"/>
          <w:lang w:val="en-GB" w:eastAsia="en-GB" w:bidi="en-GB"/>
        </w:rPr>
      </w:pPr>
      <w:r w:rsidRPr="00245612">
        <w:rPr>
          <w:rFonts w:ascii="Georgia" w:eastAsia="Georgia" w:hAnsi="Georgia" w:cs="Georgia"/>
          <w:sz w:val="18"/>
          <w:szCs w:val="18"/>
          <w:lang w:val="en-GB" w:eastAsia="en-GB" w:bidi="en-GB"/>
        </w:rPr>
        <w:t>Several imaging methods for the evaluation of prostate cancer have been suggested, and these include methods that have been available for decades (eg, CT, bone scintigraphy, and transrectal ultrasound), as well as those that were introduced more recently (eg, whole-body MRI [WB-MRI], multiparametric MRI, and PET). However, there has been little consensus about the usefulness of these approaches.</w:t>
      </w:r>
      <w:r w:rsidRPr="00245612">
        <w:rPr>
          <w:rFonts w:ascii="Georgia" w:eastAsia="Georgia" w:hAnsi="Georgia" w:cs="Georgia"/>
          <w:position w:val="6"/>
          <w:sz w:val="9"/>
          <w:szCs w:val="18"/>
          <w:lang w:val="en-GB" w:eastAsia="en-GB" w:bidi="en-GB"/>
        </w:rPr>
        <w:t>8–11</w:t>
      </w:r>
    </w:p>
    <w:p w14:paraId="0BB8B3B3" w14:textId="332C4B6E" w:rsidR="00245612" w:rsidRDefault="00245612" w:rsidP="00C94E0E">
      <w:pPr>
        <w:autoSpaceDE w:val="0"/>
        <w:autoSpaceDN w:val="0"/>
        <w:spacing w:line="240" w:lineRule="exact"/>
        <w:ind w:firstLine="142"/>
        <w:jc w:val="both"/>
        <w:rPr>
          <w:rFonts w:ascii="Georgia" w:eastAsia="Georgia" w:hAnsi="Georgia" w:cs="Georgia"/>
          <w:sz w:val="18"/>
          <w:szCs w:val="18"/>
          <w:lang w:val="en-GB" w:eastAsia="en-GB" w:bidi="en-GB"/>
        </w:rPr>
      </w:pPr>
      <w:r w:rsidRPr="00245612">
        <w:rPr>
          <w:rFonts w:ascii="Georgia" w:eastAsia="Georgia" w:hAnsi="Georgia" w:cs="Georgia"/>
          <w:sz w:val="18"/>
          <w:szCs w:val="18"/>
          <w:lang w:val="en-GB" w:eastAsia="en-GB" w:bidi="en-GB"/>
        </w:rPr>
        <w:t>Promotion of the use of the most appropriate diagnostic and therapeutic interventions in clinical practice, guidelines, and consensus statements, are of paramount importance for the medical community, although they</w:t>
      </w:r>
      <w:r>
        <w:rPr>
          <w:rFonts w:ascii="Georgia" w:eastAsia="Georgia" w:hAnsi="Georgia" w:cs="Georgia"/>
          <w:sz w:val="18"/>
          <w:szCs w:val="18"/>
          <w:lang w:val="en-GB" w:eastAsia="en-GB" w:bidi="en-GB"/>
        </w:rPr>
        <w:t xml:space="preserve"> </w:t>
      </w:r>
      <w:r w:rsidRPr="00245612">
        <w:rPr>
          <w:rFonts w:ascii="Georgia" w:eastAsia="Georgia" w:hAnsi="Georgia" w:cs="Georgia"/>
          <w:sz w:val="18"/>
          <w:szCs w:val="18"/>
          <w:lang w:val="en-GB" w:eastAsia="en-GB" w:bidi="en-GB"/>
        </w:rPr>
        <w:t xml:space="preserve">cannot replace scientific evidence. The availability of an increasing number of therapeutic and diagnostic options requires more careful choices. Evidence-based data (eg, meta-analyses) are often unable to inform  the appropriate use of available medical options, and most guidelines that are promoted by professional organi- sations tend to lead to bias because experts are usually selected from within the same specialty. In the area of prostate cancer, most clinical guidelines have been promoted by urological societies (including the European Association of Urology [EAU] and American Urological Association [AUA]), oncological societies (including the European Society for Medical Oncology [ESMO], Society of Urologic Oncology [SUO], American Society for Clinical Oncology, International Society of Geriatric Oncology [SIOG], and National Comprehensive Cancer Network [NCCN]), and radiation oncology societies (including the American Society for Radiation Oncology [ASTRO], and the European Society for Radiotherapy and Oncology </w:t>
      </w:r>
      <w:r w:rsidRPr="00245612">
        <w:rPr>
          <w:rFonts w:ascii="Georgia" w:eastAsia="Georgia" w:hAnsi="Georgia" w:cs="Georgia"/>
          <w:sz w:val="18"/>
          <w:szCs w:val="18"/>
          <w:lang w:val="en-GB" w:eastAsia="en-GB" w:bidi="en-GB"/>
        </w:rPr>
        <w:t>[ESTRO]), and attempts at producing collab- orative guidelines have been made recently (eg, AUA with ASTRO and SUO,</w:t>
      </w:r>
      <w:r w:rsidRPr="00245612">
        <w:rPr>
          <w:rFonts w:ascii="Georgia" w:eastAsia="Georgia" w:hAnsi="Georgia" w:cs="Georgia"/>
          <w:position w:val="6"/>
          <w:sz w:val="9"/>
          <w:szCs w:val="18"/>
          <w:lang w:val="en-GB" w:eastAsia="en-GB" w:bidi="en-GB"/>
        </w:rPr>
        <w:t xml:space="preserve">12 </w:t>
      </w:r>
      <w:r w:rsidRPr="00245612">
        <w:rPr>
          <w:rFonts w:ascii="Georgia" w:eastAsia="Georgia" w:hAnsi="Georgia" w:cs="Georgia"/>
          <w:sz w:val="18"/>
          <w:szCs w:val="18"/>
          <w:lang w:val="en-GB" w:eastAsia="en-GB" w:bidi="en-GB"/>
        </w:rPr>
        <w:t>and EAU with ESTRO and SIOG</w:t>
      </w:r>
      <w:r w:rsidRPr="00245612">
        <w:rPr>
          <w:rFonts w:ascii="Georgia" w:eastAsia="Georgia" w:hAnsi="Georgia" w:cs="Georgia"/>
          <w:position w:val="6"/>
          <w:sz w:val="9"/>
          <w:szCs w:val="18"/>
          <w:lang w:val="en-GB" w:eastAsia="en-GB" w:bidi="en-GB"/>
        </w:rPr>
        <w:t>13,14</w:t>
      </w:r>
      <w:r w:rsidRPr="00245612">
        <w:rPr>
          <w:rFonts w:ascii="Georgia" w:eastAsia="Georgia" w:hAnsi="Georgia" w:cs="Georgia"/>
          <w:sz w:val="18"/>
          <w:szCs w:val="18"/>
          <w:lang w:val="en-GB" w:eastAsia="en-GB" w:bidi="en-GB"/>
        </w:rPr>
        <w:t>). The Advanced Prostate Cancer Consensus Conference is the sole attempt to obtain consensus globally on areas of diagnostic and treatment uncertainty, including imaging.</w:t>
      </w:r>
      <w:r w:rsidRPr="00245612">
        <w:rPr>
          <w:rFonts w:ascii="Georgia" w:eastAsia="Georgia" w:hAnsi="Georgia" w:cs="Georgia"/>
          <w:position w:val="6"/>
          <w:sz w:val="9"/>
          <w:szCs w:val="18"/>
          <w:lang w:val="en-GB" w:eastAsia="en-GB" w:bidi="en-GB"/>
        </w:rPr>
        <w:t xml:space="preserve">11 </w:t>
      </w:r>
      <w:r w:rsidRPr="00245612">
        <w:rPr>
          <w:rFonts w:ascii="Georgia" w:eastAsia="Georgia" w:hAnsi="Georgia" w:cs="Georgia"/>
          <w:sz w:val="18"/>
          <w:szCs w:val="18"/>
          <w:lang w:val="en-GB" w:eastAsia="en-GB" w:bidi="en-GB"/>
        </w:rPr>
        <w:t>Representing nuclear medicine specialists who have led advances in novel molecular imaging techniques for prostate cancer, the European Association of Nuclear Medicine (EANM) decided to promote a project named Focus 1 to develop consensus statements in prostate cancer with a well-balanced and structured methodology.</w:t>
      </w:r>
      <w:r>
        <w:rPr>
          <w:rFonts w:ascii="Georgia" w:eastAsia="Georgia" w:hAnsi="Georgia" w:cs="Georgia"/>
          <w:sz w:val="18"/>
          <w:szCs w:val="18"/>
          <w:lang w:val="en-GB" w:eastAsia="en-GB" w:bidi="en-GB"/>
        </w:rPr>
        <w:t xml:space="preserve"> </w:t>
      </w:r>
    </w:p>
    <w:p w14:paraId="455679AD" w14:textId="7949AEB6" w:rsidR="005C1766" w:rsidRDefault="005C1766" w:rsidP="00245612">
      <w:pPr>
        <w:autoSpaceDE w:val="0"/>
        <w:autoSpaceDN w:val="0"/>
        <w:spacing w:line="240" w:lineRule="exact"/>
        <w:ind w:firstLine="141"/>
        <w:jc w:val="both"/>
        <w:rPr>
          <w:rFonts w:ascii="Georgia" w:eastAsia="Georgia" w:hAnsi="Georgia" w:cs="Georgia"/>
          <w:sz w:val="18"/>
          <w:szCs w:val="18"/>
          <w:lang w:val="en-GB" w:eastAsia="en-GB" w:bidi="en-GB"/>
        </w:rPr>
      </w:pPr>
      <w:r>
        <w:rPr>
          <w:rFonts w:ascii="Arial"/>
          <w:noProof/>
          <w:sz w:val="20"/>
        </w:rPr>
        <mc:AlternateContent>
          <mc:Choice Requires="wpg">
            <w:drawing>
              <wp:anchor distT="0" distB="0" distL="114300" distR="114300" simplePos="0" relativeHeight="251658240" behindDoc="0" locked="0" layoutInCell="1" allowOverlap="1" wp14:anchorId="6A9E9F11" wp14:editId="0CB0264F">
                <wp:simplePos x="0" y="0"/>
                <wp:positionH relativeFrom="column">
                  <wp:posOffset>9525</wp:posOffset>
                </wp:positionH>
                <wp:positionV relativeFrom="paragraph">
                  <wp:posOffset>222453</wp:posOffset>
                </wp:positionV>
                <wp:extent cx="2698750" cy="3256915"/>
                <wp:effectExtent l="0" t="0" r="6350" b="6985"/>
                <wp:wrapSquare wrapText="bothSides"/>
                <wp:docPr id="8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5602" cy="3253767"/>
                          <a:chOff x="2" y="2"/>
                          <a:chExt cx="4281" cy="5168"/>
                        </a:xfrm>
                      </wpg:grpSpPr>
                      <wps:wsp>
                        <wps:cNvPr id="84" name="Rectangle 76"/>
                        <wps:cNvSpPr>
                          <a:spLocks/>
                        </wps:cNvSpPr>
                        <wps:spPr bwMode="auto">
                          <a:xfrm>
                            <a:off x="115" y="115"/>
                            <a:ext cx="4054" cy="64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77"/>
                        <wps:cNvCnPr>
                          <a:cxnSpLocks/>
                        </wps:cNvCnPr>
                        <wps:spPr bwMode="auto">
                          <a:xfrm>
                            <a:off x="2143" y="762"/>
                            <a:ext cx="0" cy="1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 name="Freeform 78"/>
                        <wps:cNvSpPr>
                          <a:spLocks/>
                        </wps:cNvSpPr>
                        <wps:spPr bwMode="auto">
                          <a:xfrm>
                            <a:off x="2093" y="895"/>
                            <a:ext cx="100" cy="87"/>
                          </a:xfrm>
                          <a:custGeom>
                            <a:avLst/>
                            <a:gdLst>
                              <a:gd name="T0" fmla="+- 0 2193 2093"/>
                              <a:gd name="T1" fmla="*/ T0 w 100"/>
                              <a:gd name="T2" fmla="+- 0 896 896"/>
                              <a:gd name="T3" fmla="*/ 896 h 87"/>
                              <a:gd name="T4" fmla="+- 0 2093 2093"/>
                              <a:gd name="T5" fmla="*/ T4 w 100"/>
                              <a:gd name="T6" fmla="+- 0 896 896"/>
                              <a:gd name="T7" fmla="*/ 896 h 87"/>
                              <a:gd name="T8" fmla="+- 0 2143 2093"/>
                              <a:gd name="T9" fmla="*/ T8 w 100"/>
                              <a:gd name="T10" fmla="+- 0 982 896"/>
                              <a:gd name="T11" fmla="*/ 982 h 87"/>
                              <a:gd name="T12" fmla="+- 0 2193 2093"/>
                              <a:gd name="T13" fmla="*/ T12 w 100"/>
                              <a:gd name="T14" fmla="+- 0 896 896"/>
                              <a:gd name="T15" fmla="*/ 896 h 87"/>
                            </a:gdLst>
                            <a:ahLst/>
                            <a:cxnLst>
                              <a:cxn ang="0">
                                <a:pos x="T1" y="T3"/>
                              </a:cxn>
                              <a:cxn ang="0">
                                <a:pos x="T5" y="T7"/>
                              </a:cxn>
                              <a:cxn ang="0">
                                <a:pos x="T9" y="T11"/>
                              </a:cxn>
                              <a:cxn ang="0">
                                <a:pos x="T13" y="T15"/>
                              </a:cxn>
                            </a:cxnLst>
                            <a:rect l="0" t="0" r="r" b="b"/>
                            <a:pathLst>
                              <a:path w="100" h="87">
                                <a:moveTo>
                                  <a:pt x="100" y="0"/>
                                </a:moveTo>
                                <a:lnTo>
                                  <a:pt x="0" y="0"/>
                                </a:lnTo>
                                <a:lnTo>
                                  <a:pt x="50" y="86"/>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Rectangle 79"/>
                        <wps:cNvSpPr>
                          <a:spLocks/>
                        </wps:cNvSpPr>
                        <wps:spPr bwMode="auto">
                          <a:xfrm>
                            <a:off x="115" y="987"/>
                            <a:ext cx="4054" cy="64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0"/>
                        <wps:cNvCnPr>
                          <a:cxnSpLocks/>
                        </wps:cNvCnPr>
                        <wps:spPr bwMode="auto">
                          <a:xfrm>
                            <a:off x="2143" y="1628"/>
                            <a:ext cx="0"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81"/>
                        <wps:cNvSpPr>
                          <a:spLocks/>
                        </wps:cNvSpPr>
                        <wps:spPr bwMode="auto">
                          <a:xfrm>
                            <a:off x="2093" y="1766"/>
                            <a:ext cx="100" cy="87"/>
                          </a:xfrm>
                          <a:custGeom>
                            <a:avLst/>
                            <a:gdLst>
                              <a:gd name="T0" fmla="+- 0 2193 2093"/>
                              <a:gd name="T1" fmla="*/ T0 w 100"/>
                              <a:gd name="T2" fmla="+- 0 1766 1766"/>
                              <a:gd name="T3" fmla="*/ 1766 h 87"/>
                              <a:gd name="T4" fmla="+- 0 2093 2093"/>
                              <a:gd name="T5" fmla="*/ T4 w 100"/>
                              <a:gd name="T6" fmla="+- 0 1766 1766"/>
                              <a:gd name="T7" fmla="*/ 1766 h 87"/>
                              <a:gd name="T8" fmla="+- 0 2143 2093"/>
                              <a:gd name="T9" fmla="*/ T8 w 100"/>
                              <a:gd name="T10" fmla="+- 0 1852 1766"/>
                              <a:gd name="T11" fmla="*/ 1852 h 87"/>
                              <a:gd name="T12" fmla="+- 0 2193 2093"/>
                              <a:gd name="T13" fmla="*/ T12 w 100"/>
                              <a:gd name="T14" fmla="+- 0 1766 1766"/>
                              <a:gd name="T15" fmla="*/ 1766 h 87"/>
                            </a:gdLst>
                            <a:ahLst/>
                            <a:cxnLst>
                              <a:cxn ang="0">
                                <a:pos x="T1" y="T3"/>
                              </a:cxn>
                              <a:cxn ang="0">
                                <a:pos x="T5" y="T7"/>
                              </a:cxn>
                              <a:cxn ang="0">
                                <a:pos x="T9" y="T11"/>
                              </a:cxn>
                              <a:cxn ang="0">
                                <a:pos x="T13" y="T15"/>
                              </a:cxn>
                            </a:cxnLst>
                            <a:rect l="0" t="0" r="r" b="b"/>
                            <a:pathLst>
                              <a:path w="100" h="87">
                                <a:moveTo>
                                  <a:pt x="100" y="0"/>
                                </a:moveTo>
                                <a:lnTo>
                                  <a:pt x="0" y="0"/>
                                </a:lnTo>
                                <a:lnTo>
                                  <a:pt x="50" y="86"/>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Rectangle 82"/>
                        <wps:cNvSpPr>
                          <a:spLocks/>
                        </wps:cNvSpPr>
                        <wps:spPr bwMode="auto">
                          <a:xfrm>
                            <a:off x="115" y="1857"/>
                            <a:ext cx="4054" cy="6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83"/>
                        <wps:cNvCnPr>
                          <a:cxnSpLocks/>
                        </wps:cNvCnPr>
                        <wps:spPr bwMode="auto">
                          <a:xfrm>
                            <a:off x="2143" y="2485"/>
                            <a:ext cx="0" cy="1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4"/>
                        <wps:cNvSpPr>
                          <a:spLocks/>
                        </wps:cNvSpPr>
                        <wps:spPr bwMode="auto">
                          <a:xfrm>
                            <a:off x="2093" y="2623"/>
                            <a:ext cx="100" cy="87"/>
                          </a:xfrm>
                          <a:custGeom>
                            <a:avLst/>
                            <a:gdLst>
                              <a:gd name="T0" fmla="+- 0 2193 2093"/>
                              <a:gd name="T1" fmla="*/ T0 w 100"/>
                              <a:gd name="T2" fmla="+- 0 2624 2624"/>
                              <a:gd name="T3" fmla="*/ 2624 h 87"/>
                              <a:gd name="T4" fmla="+- 0 2093 2093"/>
                              <a:gd name="T5" fmla="*/ T4 w 100"/>
                              <a:gd name="T6" fmla="+- 0 2624 2624"/>
                              <a:gd name="T7" fmla="*/ 2624 h 87"/>
                              <a:gd name="T8" fmla="+- 0 2143 2093"/>
                              <a:gd name="T9" fmla="*/ T8 w 100"/>
                              <a:gd name="T10" fmla="+- 0 2710 2624"/>
                              <a:gd name="T11" fmla="*/ 2710 h 87"/>
                              <a:gd name="T12" fmla="+- 0 2193 2093"/>
                              <a:gd name="T13" fmla="*/ T12 w 100"/>
                              <a:gd name="T14" fmla="+- 0 2624 2624"/>
                              <a:gd name="T15" fmla="*/ 2624 h 87"/>
                            </a:gdLst>
                            <a:ahLst/>
                            <a:cxnLst>
                              <a:cxn ang="0">
                                <a:pos x="T1" y="T3"/>
                              </a:cxn>
                              <a:cxn ang="0">
                                <a:pos x="T5" y="T7"/>
                              </a:cxn>
                              <a:cxn ang="0">
                                <a:pos x="T9" y="T11"/>
                              </a:cxn>
                              <a:cxn ang="0">
                                <a:pos x="T13" y="T15"/>
                              </a:cxn>
                            </a:cxnLst>
                            <a:rect l="0" t="0" r="r" b="b"/>
                            <a:pathLst>
                              <a:path w="100" h="87">
                                <a:moveTo>
                                  <a:pt x="100" y="0"/>
                                </a:moveTo>
                                <a:lnTo>
                                  <a:pt x="0" y="0"/>
                                </a:lnTo>
                                <a:lnTo>
                                  <a:pt x="50" y="86"/>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85"/>
                        <wps:cNvSpPr>
                          <a:spLocks/>
                        </wps:cNvSpPr>
                        <wps:spPr bwMode="auto">
                          <a:xfrm>
                            <a:off x="115" y="2714"/>
                            <a:ext cx="4054" cy="6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86"/>
                        <wps:cNvCnPr>
                          <a:cxnSpLocks/>
                        </wps:cNvCnPr>
                        <wps:spPr bwMode="auto">
                          <a:xfrm>
                            <a:off x="2143" y="3355"/>
                            <a:ext cx="0" cy="1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87"/>
                        <wps:cNvSpPr>
                          <a:spLocks/>
                        </wps:cNvSpPr>
                        <wps:spPr bwMode="auto">
                          <a:xfrm>
                            <a:off x="115" y="3579"/>
                            <a:ext cx="4054" cy="63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88"/>
                        <wps:cNvCnPr>
                          <a:cxnSpLocks/>
                        </wps:cNvCnPr>
                        <wps:spPr bwMode="auto">
                          <a:xfrm>
                            <a:off x="2143" y="4214"/>
                            <a:ext cx="0" cy="1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89"/>
                        <wps:cNvSpPr>
                          <a:spLocks/>
                        </wps:cNvSpPr>
                        <wps:spPr bwMode="auto">
                          <a:xfrm>
                            <a:off x="2093" y="4349"/>
                            <a:ext cx="100" cy="87"/>
                          </a:xfrm>
                          <a:custGeom>
                            <a:avLst/>
                            <a:gdLst>
                              <a:gd name="T0" fmla="+- 0 2193 2093"/>
                              <a:gd name="T1" fmla="*/ T0 w 100"/>
                              <a:gd name="T2" fmla="+- 0 4349 4349"/>
                              <a:gd name="T3" fmla="*/ 4349 h 87"/>
                              <a:gd name="T4" fmla="+- 0 2093 2093"/>
                              <a:gd name="T5" fmla="*/ T4 w 100"/>
                              <a:gd name="T6" fmla="+- 0 4349 4349"/>
                              <a:gd name="T7" fmla="*/ 4349 h 87"/>
                              <a:gd name="T8" fmla="+- 0 2143 2093"/>
                              <a:gd name="T9" fmla="*/ T8 w 100"/>
                              <a:gd name="T10" fmla="+- 0 4436 4349"/>
                              <a:gd name="T11" fmla="*/ 4436 h 87"/>
                              <a:gd name="T12" fmla="+- 0 2193 2093"/>
                              <a:gd name="T13" fmla="*/ T12 w 100"/>
                              <a:gd name="T14" fmla="+- 0 4349 4349"/>
                              <a:gd name="T15" fmla="*/ 4349 h 87"/>
                            </a:gdLst>
                            <a:ahLst/>
                            <a:cxnLst>
                              <a:cxn ang="0">
                                <a:pos x="T1" y="T3"/>
                              </a:cxn>
                              <a:cxn ang="0">
                                <a:pos x="T5" y="T7"/>
                              </a:cxn>
                              <a:cxn ang="0">
                                <a:pos x="T9" y="T11"/>
                              </a:cxn>
                              <a:cxn ang="0">
                                <a:pos x="T13" y="T15"/>
                              </a:cxn>
                            </a:cxnLst>
                            <a:rect l="0" t="0" r="r" b="b"/>
                            <a:pathLst>
                              <a:path w="100" h="87">
                                <a:moveTo>
                                  <a:pt x="100" y="0"/>
                                </a:moveTo>
                                <a:lnTo>
                                  <a:pt x="0" y="0"/>
                                </a:lnTo>
                                <a:lnTo>
                                  <a:pt x="50" y="87"/>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0"/>
                        <wps:cNvSpPr>
                          <a:spLocks/>
                        </wps:cNvSpPr>
                        <wps:spPr bwMode="auto">
                          <a:xfrm>
                            <a:off x="2093" y="3488"/>
                            <a:ext cx="100" cy="87"/>
                          </a:xfrm>
                          <a:custGeom>
                            <a:avLst/>
                            <a:gdLst>
                              <a:gd name="T0" fmla="+- 0 2193 2093"/>
                              <a:gd name="T1" fmla="*/ T0 w 100"/>
                              <a:gd name="T2" fmla="+- 0 3489 3489"/>
                              <a:gd name="T3" fmla="*/ 3489 h 87"/>
                              <a:gd name="T4" fmla="+- 0 2093 2093"/>
                              <a:gd name="T5" fmla="*/ T4 w 100"/>
                              <a:gd name="T6" fmla="+- 0 3489 3489"/>
                              <a:gd name="T7" fmla="*/ 3489 h 87"/>
                              <a:gd name="T8" fmla="+- 0 2143 2093"/>
                              <a:gd name="T9" fmla="*/ T8 w 100"/>
                              <a:gd name="T10" fmla="+- 0 3575 3489"/>
                              <a:gd name="T11" fmla="*/ 3575 h 87"/>
                              <a:gd name="T12" fmla="+- 0 2193 2093"/>
                              <a:gd name="T13" fmla="*/ T12 w 100"/>
                              <a:gd name="T14" fmla="+- 0 3489 3489"/>
                              <a:gd name="T15" fmla="*/ 3489 h 87"/>
                            </a:gdLst>
                            <a:ahLst/>
                            <a:cxnLst>
                              <a:cxn ang="0">
                                <a:pos x="T1" y="T3"/>
                              </a:cxn>
                              <a:cxn ang="0">
                                <a:pos x="T5" y="T7"/>
                              </a:cxn>
                              <a:cxn ang="0">
                                <a:pos x="T9" y="T11"/>
                              </a:cxn>
                              <a:cxn ang="0">
                                <a:pos x="T13" y="T15"/>
                              </a:cxn>
                            </a:cxnLst>
                            <a:rect l="0" t="0" r="r" b="b"/>
                            <a:pathLst>
                              <a:path w="100" h="87">
                                <a:moveTo>
                                  <a:pt x="100" y="0"/>
                                </a:moveTo>
                                <a:lnTo>
                                  <a:pt x="0" y="0"/>
                                </a:lnTo>
                                <a:lnTo>
                                  <a:pt x="50" y="86"/>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Text Box 91"/>
                        <wps:cNvSpPr txBox="1">
                          <a:spLocks/>
                        </wps:cNvSpPr>
                        <wps:spPr bwMode="auto">
                          <a:xfrm>
                            <a:off x="2" y="2"/>
                            <a:ext cx="4281" cy="5168"/>
                          </a:xfrm>
                          <a:prstGeom prst="rect">
                            <a:avLst/>
                          </a:prstGeom>
                          <a:noFill/>
                          <a:ln w="3175">
                            <a:solidFill>
                              <a:srgbClr val="CA415A"/>
                            </a:solidFill>
                            <a:miter lim="800000"/>
                            <a:headEnd/>
                            <a:tailEnd/>
                          </a:ln>
                          <a:extLst>
                            <a:ext uri="{909E8E84-426E-40DD-AFC4-6F175D3DCCD1}">
                              <a14:hiddenFill xmlns:a14="http://schemas.microsoft.com/office/drawing/2010/main">
                                <a:solidFill>
                                  <a:srgbClr val="FFFFFF"/>
                                </a:solidFill>
                              </a14:hiddenFill>
                            </a:ext>
                          </a:extLst>
                        </wps:spPr>
                        <wps:txbx>
                          <w:txbxContent>
                            <w:p w14:paraId="6C2BE233" w14:textId="77777777" w:rsidR="009A7522" w:rsidRDefault="009A7522" w:rsidP="005C1766">
                              <w:pPr>
                                <w:spacing w:before="10"/>
                                <w:ind w:left="227"/>
                                <w:rPr>
                                  <w:rFonts w:ascii="Arial"/>
                                  <w:sz w:val="15"/>
                                </w:rPr>
                              </w:pPr>
                            </w:p>
                            <w:p w14:paraId="6A91B97B" w14:textId="6284C996" w:rsidR="009A7522" w:rsidRPr="005C1766" w:rsidRDefault="009A7522" w:rsidP="005C1766">
                              <w:pPr>
                                <w:spacing w:line="249" w:lineRule="auto"/>
                                <w:ind w:left="227"/>
                                <w:rPr>
                                  <w:rFonts w:ascii="Arial" w:hAnsi="Arial" w:cs="Times New Roman (Textkörper CS)"/>
                                  <w:sz w:val="13"/>
                                </w:rPr>
                              </w:pPr>
                              <w:r w:rsidRPr="005C1766">
                                <w:rPr>
                                  <w:rFonts w:ascii="Arial" w:hAnsi="Arial" w:cs="Times New Roman (Textkörper CS)"/>
                                  <w:b/>
                                  <w:sz w:val="13"/>
                                </w:rPr>
                                <w:t>Definition of issues</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May 4 to Aug 3, 2017</w:t>
                              </w:r>
                              <w:r w:rsidRPr="005C1766">
                                <w:rPr>
                                  <w:rFonts w:ascii="Arial" w:hAnsi="Arial" w:cs="Times New Roman (Textkörper CS)"/>
                                  <w:sz w:val="13"/>
                                </w:rPr>
                                <w:br/>
                                <w:t>Done by email</w:t>
                              </w:r>
                            </w:p>
                            <w:p w14:paraId="7385A6BB" w14:textId="77777777" w:rsidR="009A7522" w:rsidRPr="005C1766" w:rsidRDefault="009A7522" w:rsidP="005C1766">
                              <w:pPr>
                                <w:ind w:left="227"/>
                                <w:rPr>
                                  <w:rFonts w:ascii="Arial" w:hAnsi="Arial" w:cs="Times New Roman (Textkörper CS)"/>
                                  <w:sz w:val="16"/>
                                </w:rPr>
                              </w:pPr>
                            </w:p>
                            <w:p w14:paraId="695A4838" w14:textId="77777777" w:rsidR="009A7522" w:rsidRPr="005C1766" w:rsidRDefault="009A7522" w:rsidP="005C1766">
                              <w:pPr>
                                <w:spacing w:before="2"/>
                                <w:ind w:left="227"/>
                                <w:rPr>
                                  <w:rFonts w:ascii="Arial" w:hAnsi="Arial" w:cs="Times New Roman (Textkörper CS)"/>
                                  <w:sz w:val="19"/>
                                </w:rPr>
                              </w:pPr>
                            </w:p>
                            <w:p w14:paraId="479188F3" w14:textId="77777777" w:rsidR="009A7522" w:rsidRPr="00C94E0E" w:rsidRDefault="009A7522" w:rsidP="005C1766">
                              <w:pPr>
                                <w:spacing w:before="1"/>
                                <w:ind w:left="227"/>
                                <w:rPr>
                                  <w:rFonts w:ascii="Arial" w:hAnsi="Arial" w:cs="Times New Roman (Textkörper CS)"/>
                                  <w:b/>
                                  <w:sz w:val="13"/>
                                </w:rPr>
                              </w:pPr>
                              <w:r w:rsidRPr="00C94E0E">
                                <w:rPr>
                                  <w:rFonts w:ascii="Arial" w:hAnsi="Arial" w:cs="Times New Roman (Textkörper CS)"/>
                                  <w:b/>
                                  <w:sz w:val="13"/>
                                </w:rPr>
                                <w:t>Systematic review</w:t>
                              </w:r>
                            </w:p>
                            <w:p w14:paraId="353FAEBD" w14:textId="1B3657FC" w:rsidR="009A7522" w:rsidRPr="005C1766" w:rsidRDefault="009A7522" w:rsidP="005C1766">
                              <w:pPr>
                                <w:spacing w:before="6" w:line="249" w:lineRule="auto"/>
                                <w:ind w:left="227"/>
                                <w:rPr>
                                  <w:rFonts w:ascii="Arial" w:hAnsi="Arial" w:cs="Times New Roman (Textkörper CS)"/>
                                  <w:sz w:val="13"/>
                                </w:rPr>
                              </w:pPr>
                              <w:r w:rsidRPr="005C1766">
                                <w:rPr>
                                  <w:rFonts w:ascii="Arial" w:hAnsi="Arial" w:cs="Times New Roman (Textkörper CS)"/>
                                  <w:sz w:val="13"/>
                                </w:rPr>
                                <w:t xml:space="preserve">June 13 to July 31, 2017 </w:t>
                              </w:r>
                              <w:r>
                                <w:rPr>
                                  <w:rFonts w:ascii="Arial" w:hAnsi="Arial" w:cs="Times New Roman (Textkörper CS)"/>
                                  <w:sz w:val="13"/>
                                </w:rPr>
                                <w:br/>
                              </w:r>
                              <w:r w:rsidRPr="005C1766">
                                <w:rPr>
                                  <w:rFonts w:ascii="Arial" w:hAnsi="Arial" w:cs="Times New Roman (Textkörper CS)"/>
                                  <w:sz w:val="13"/>
                                </w:rPr>
                                <w:t>Done by email</w:t>
                              </w:r>
                            </w:p>
                            <w:p w14:paraId="671F680B" w14:textId="77777777" w:rsidR="009A7522" w:rsidRPr="005C1766" w:rsidRDefault="009A7522" w:rsidP="005C1766">
                              <w:pPr>
                                <w:ind w:left="227"/>
                                <w:rPr>
                                  <w:rFonts w:ascii="Arial" w:hAnsi="Arial" w:cs="Times New Roman (Textkörper CS)"/>
                                  <w:sz w:val="16"/>
                                </w:rPr>
                              </w:pPr>
                            </w:p>
                            <w:p w14:paraId="3AE7509A" w14:textId="77777777" w:rsidR="009A7522" w:rsidRPr="005C1766" w:rsidRDefault="009A7522" w:rsidP="005C1766">
                              <w:pPr>
                                <w:ind w:left="227"/>
                                <w:rPr>
                                  <w:rFonts w:ascii="Arial" w:hAnsi="Arial" w:cs="Times New Roman (Textkörper CS)"/>
                                  <w:sz w:val="19"/>
                                </w:rPr>
                              </w:pPr>
                            </w:p>
                            <w:p w14:paraId="570BFF48" w14:textId="77777777" w:rsidR="009A7522" w:rsidRPr="00C94E0E" w:rsidRDefault="009A7522" w:rsidP="005C1766">
                              <w:pPr>
                                <w:ind w:left="227"/>
                                <w:rPr>
                                  <w:rFonts w:ascii="Arial" w:hAnsi="Arial" w:cs="Times New Roman (Textkörper CS)"/>
                                  <w:b/>
                                  <w:sz w:val="13"/>
                                </w:rPr>
                              </w:pPr>
                              <w:r w:rsidRPr="00C94E0E">
                                <w:rPr>
                                  <w:rFonts w:ascii="Arial" w:hAnsi="Arial" w:cs="Times New Roman (Textkörper CS)"/>
                                  <w:b/>
                                  <w:sz w:val="13"/>
                                </w:rPr>
                                <w:t>Round 1: questionnaire</w:t>
                              </w:r>
                            </w:p>
                            <w:p w14:paraId="024D571C" w14:textId="77777777" w:rsidR="009A7522" w:rsidRPr="005C1766" w:rsidRDefault="009A7522" w:rsidP="005C1766">
                              <w:pPr>
                                <w:spacing w:before="7"/>
                                <w:ind w:left="227"/>
                                <w:rPr>
                                  <w:rFonts w:ascii="Arial" w:hAnsi="Arial" w:cs="Times New Roman (Textkörper CS)"/>
                                  <w:sz w:val="13"/>
                                </w:rPr>
                              </w:pPr>
                              <w:r w:rsidRPr="005C1766">
                                <w:rPr>
                                  <w:rFonts w:ascii="Arial" w:hAnsi="Arial" w:cs="Times New Roman (Textkörper CS)"/>
                                  <w:sz w:val="13"/>
                                </w:rPr>
                                <w:t>Aug 6–14, 2017</w:t>
                              </w:r>
                            </w:p>
                            <w:p w14:paraId="6C137A80" w14:textId="77777777" w:rsidR="009A7522" w:rsidRPr="005C1766" w:rsidRDefault="009A7522" w:rsidP="005C1766">
                              <w:pPr>
                                <w:spacing w:before="6"/>
                                <w:ind w:left="227"/>
                                <w:rPr>
                                  <w:rFonts w:ascii="Arial" w:hAnsi="Arial" w:cs="Times New Roman (Textkörper CS)"/>
                                  <w:sz w:val="13"/>
                                </w:rPr>
                              </w:pPr>
                              <w:r w:rsidRPr="005C1766">
                                <w:rPr>
                                  <w:rFonts w:ascii="Arial" w:hAnsi="Arial" w:cs="Times New Roman (Textkörper CS)"/>
                                  <w:sz w:val="13"/>
                                </w:rPr>
                                <w:t>Done by email</w:t>
                              </w:r>
                            </w:p>
                            <w:p w14:paraId="424F7C95" w14:textId="77777777" w:rsidR="009A7522" w:rsidRPr="005C1766" w:rsidRDefault="009A7522" w:rsidP="005C1766">
                              <w:pPr>
                                <w:ind w:left="227"/>
                                <w:rPr>
                                  <w:rFonts w:ascii="Arial" w:hAnsi="Arial" w:cs="Times New Roman (Textkörper CS)"/>
                                  <w:sz w:val="16"/>
                                </w:rPr>
                              </w:pPr>
                            </w:p>
                            <w:p w14:paraId="7E6B4940" w14:textId="77777777" w:rsidR="009A7522" w:rsidRPr="005C1766" w:rsidRDefault="009A7522" w:rsidP="005C1766">
                              <w:pPr>
                                <w:spacing w:before="5"/>
                                <w:ind w:left="227"/>
                                <w:rPr>
                                  <w:rFonts w:ascii="Arial" w:hAnsi="Arial" w:cs="Times New Roman (Textkörper CS)"/>
                                  <w:sz w:val="18"/>
                                </w:rPr>
                              </w:pPr>
                            </w:p>
                            <w:p w14:paraId="74E61661" w14:textId="0EDA25E2" w:rsidR="009A7522" w:rsidRPr="005C1766" w:rsidRDefault="009A7522" w:rsidP="005C1766">
                              <w:pPr>
                                <w:spacing w:line="249" w:lineRule="auto"/>
                                <w:ind w:left="227"/>
                                <w:rPr>
                                  <w:rFonts w:ascii="Arial" w:hAnsi="Arial" w:cs="Times New Roman (Textkörper CS)"/>
                                  <w:sz w:val="13"/>
                                </w:rPr>
                              </w:pPr>
                              <w:r w:rsidRPr="00C94E0E">
                                <w:rPr>
                                  <w:rFonts w:ascii="Arial" w:hAnsi="Arial" w:cs="Times New Roman (Textkörper CS)"/>
                                  <w:b/>
                                  <w:sz w:val="13"/>
                                </w:rPr>
                                <w:t>Round 2: refined questionnaire</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Oct 5–31, 2017</w:t>
                              </w:r>
                            </w:p>
                            <w:p w14:paraId="39F58A70" w14:textId="77777777" w:rsidR="009A7522" w:rsidRPr="005C1766" w:rsidRDefault="009A7522" w:rsidP="005C1766">
                              <w:pPr>
                                <w:spacing w:before="1"/>
                                <w:ind w:left="227"/>
                                <w:rPr>
                                  <w:rFonts w:ascii="Arial" w:hAnsi="Arial" w:cs="Times New Roman (Textkörper CS)"/>
                                  <w:sz w:val="13"/>
                                </w:rPr>
                              </w:pPr>
                              <w:r w:rsidRPr="005C1766">
                                <w:rPr>
                                  <w:rFonts w:ascii="Arial" w:hAnsi="Arial" w:cs="Times New Roman (Textkörper CS)"/>
                                  <w:sz w:val="13"/>
                                </w:rPr>
                                <w:t>Done by email</w:t>
                              </w:r>
                            </w:p>
                            <w:p w14:paraId="1BCCC6A1" w14:textId="77777777" w:rsidR="009A7522" w:rsidRPr="005C1766" w:rsidRDefault="009A7522" w:rsidP="005C1766">
                              <w:pPr>
                                <w:ind w:left="227"/>
                                <w:rPr>
                                  <w:rFonts w:ascii="Arial" w:hAnsi="Arial" w:cs="Times New Roman (Textkörper CS)"/>
                                  <w:sz w:val="16"/>
                                </w:rPr>
                              </w:pPr>
                            </w:p>
                            <w:p w14:paraId="19ECBD19" w14:textId="77777777" w:rsidR="009A7522" w:rsidRPr="005C1766" w:rsidRDefault="009A7522" w:rsidP="005C1766">
                              <w:pPr>
                                <w:spacing w:before="1"/>
                                <w:ind w:left="227"/>
                                <w:rPr>
                                  <w:rFonts w:ascii="Arial" w:hAnsi="Arial" w:cs="Times New Roman (Textkörper CS)"/>
                                  <w:sz w:val="19"/>
                                </w:rPr>
                              </w:pPr>
                            </w:p>
                            <w:p w14:paraId="2A1F1ACF" w14:textId="61EBFF94" w:rsidR="009A7522" w:rsidRPr="005C1766" w:rsidRDefault="009A7522" w:rsidP="005C1766">
                              <w:pPr>
                                <w:spacing w:before="1" w:line="249" w:lineRule="auto"/>
                                <w:ind w:left="227"/>
                                <w:rPr>
                                  <w:rFonts w:ascii="Arial" w:hAnsi="Arial" w:cs="Times New Roman (Textkörper CS)"/>
                                  <w:sz w:val="13"/>
                                </w:rPr>
                              </w:pPr>
                              <w:r w:rsidRPr="00C94E0E">
                                <w:rPr>
                                  <w:rFonts w:ascii="Arial" w:hAnsi="Arial" w:cs="Times New Roman (Textkörper CS)"/>
                                  <w:b/>
                                  <w:sz w:val="13"/>
                                </w:rPr>
                                <w:t>Round 3: consensus meeting</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Feb 1–3, 2018</w:t>
                              </w:r>
                            </w:p>
                            <w:p w14:paraId="06544FEB" w14:textId="5B5C93C3" w:rsidR="009A7522" w:rsidRDefault="009A7522" w:rsidP="005C1766">
                              <w:pPr>
                                <w:spacing w:before="1"/>
                                <w:ind w:left="227"/>
                                <w:rPr>
                                  <w:rFonts w:ascii="Arial"/>
                                  <w:sz w:val="13"/>
                                </w:rPr>
                              </w:pPr>
                              <w:r w:rsidRPr="005C1766">
                                <w:rPr>
                                  <w:rFonts w:ascii="Arial" w:hAnsi="Arial" w:cs="Times New Roman (Textkörper CS)"/>
                                  <w:sz w:val="13"/>
                                </w:rPr>
                                <w:t>EANM Focus 1 meeting (Valencia, Spain</w:t>
                              </w:r>
                              <w:r>
                                <w:rPr>
                                  <w:rFonts w:ascii="Arial"/>
                                  <w:sz w:val="13"/>
                                </w:rPr>
                                <w:t>)</w:t>
                              </w:r>
                            </w:p>
                            <w:p w14:paraId="099D82AD" w14:textId="7AAACA5C" w:rsidR="009A7522" w:rsidRDefault="009A7522" w:rsidP="005C1766">
                              <w:pPr>
                                <w:spacing w:before="1"/>
                                <w:ind w:left="227"/>
                                <w:rPr>
                                  <w:rFonts w:ascii="Arial"/>
                                  <w:sz w:val="13"/>
                                </w:rPr>
                              </w:pPr>
                            </w:p>
                            <w:p w14:paraId="05222F60" w14:textId="0B802469" w:rsidR="009A7522" w:rsidRDefault="009A7522" w:rsidP="005C1766">
                              <w:pPr>
                                <w:spacing w:before="1"/>
                                <w:ind w:left="227"/>
                                <w:rPr>
                                  <w:rFonts w:ascii="Arial"/>
                                  <w:sz w:val="13"/>
                                </w:rPr>
                              </w:pPr>
                            </w:p>
                            <w:p w14:paraId="29FB29C1" w14:textId="782D93EA" w:rsidR="009A7522" w:rsidRPr="005C1766" w:rsidRDefault="009A7522" w:rsidP="005C1766">
                              <w:pPr>
                                <w:spacing w:before="66" w:line="249" w:lineRule="auto"/>
                                <w:ind w:left="227"/>
                                <w:rPr>
                                  <w:rFonts w:ascii="Arial" w:hAnsi="Arial" w:cs="Times New Roman (Textkörper CS)"/>
                                  <w:sz w:val="13"/>
                                </w:rPr>
                              </w:pPr>
                              <w:r w:rsidRPr="00C94E0E">
                                <w:rPr>
                                  <w:rFonts w:ascii="Arial" w:hAnsi="Arial" w:cs="Times New Roman (Textkörper CS)"/>
                                  <w:b/>
                                  <w:sz w:val="13"/>
                                </w:rPr>
                                <w:t>Final consensus analysis</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Feb 4–20, 2018</w:t>
                              </w:r>
                            </w:p>
                            <w:p w14:paraId="237DACFA" w14:textId="386C8B1B" w:rsidR="009A7522" w:rsidRDefault="009A7522" w:rsidP="005C1766">
                              <w:pPr>
                                <w:spacing w:before="1"/>
                                <w:ind w:left="227"/>
                                <w:rPr>
                                  <w:rFonts w:ascii="Arial" w:hAnsi="Arial" w:cs="Times New Roman (Textkörper CS)"/>
                                  <w:sz w:val="13"/>
                                </w:rPr>
                              </w:pPr>
                              <w:r w:rsidRPr="005C1766">
                                <w:rPr>
                                  <w:rFonts w:ascii="Arial" w:hAnsi="Arial" w:cs="Times New Roman (Textkörper CS)"/>
                                  <w:sz w:val="13"/>
                                </w:rPr>
                                <w:t>Done by email</w:t>
                              </w:r>
                            </w:p>
                            <w:p w14:paraId="3721616D" w14:textId="77777777" w:rsidR="009A7522" w:rsidRPr="005C1766" w:rsidRDefault="009A7522" w:rsidP="005C1766">
                              <w:pPr>
                                <w:spacing w:before="1"/>
                                <w:ind w:left="227"/>
                                <w:rPr>
                                  <w:rFonts w:ascii="Arial" w:hAnsi="Arial" w:cs="Times New Roman (Textkörper CS)"/>
                                  <w:sz w:val="13"/>
                                </w:rPr>
                              </w:pPr>
                            </w:p>
                            <w:p w14:paraId="4E017BE7" w14:textId="77777777" w:rsidR="009A7522" w:rsidRDefault="009A7522" w:rsidP="005C1766">
                              <w:pPr>
                                <w:spacing w:before="1"/>
                                <w:ind w:left="227"/>
                                <w:rPr>
                                  <w:rFonts w:ascii="Arial"/>
                                  <w:sz w:val="13"/>
                                </w:rPr>
                              </w:pPr>
                            </w:p>
                          </w:txbxContent>
                        </wps:txbx>
                        <wps:bodyPr rot="0" vert="horz" wrap="square" lIns="0" tIns="0" rIns="0" bIns="0" anchor="t" anchorCtr="0" upright="1">
                          <a:noAutofit/>
                        </wps:bodyPr>
                      </wps:wsp>
                      <wps:wsp>
                        <wps:cNvPr id="100" name="Text Box 92"/>
                        <wps:cNvSpPr txBox="1">
                          <a:spLocks/>
                        </wps:cNvSpPr>
                        <wps:spPr bwMode="auto">
                          <a:xfrm>
                            <a:off x="115" y="4441"/>
                            <a:ext cx="4054" cy="6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25B5E" w14:textId="7A6A4EC3" w:rsidR="009A7522" w:rsidRDefault="009A7522" w:rsidP="005C1766">
                              <w:pPr>
                                <w:spacing w:before="1"/>
                                <w:rPr>
                                  <w:rFonts w:ascii="Arial"/>
                                  <w:sz w:val="13"/>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E9F11" id="Group 75" o:spid="_x0000_s1026" style="position:absolute;left:0;text-align:left;margin-left:.75pt;margin-top:17.5pt;width:212.5pt;height:256.45pt;z-index:251658240" coordorigin="2,2" coordsize="4281,5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">
                <v:rect id="Rectangle 76" o:spid="_x0000_s1027" style="position:absolute;left:115;top:115;width:4054;height:6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" filled="f" strokeweight=".5pt">
                  <v:path arrowok="t"/>
                </v:rect>
                <v:line id="Line 77" o:spid="_x0000_s1028" style="position:absolute;visibility:visible;mso-wrap-style:square" from="2143,762" to="2143,9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" strokeweight=".5pt">
                  <o:lock v:ext="edit" shapetype="f"/>
                </v:line>
                <v:shape id="Freeform 78" o:spid="_x0000_s1029" style="position:absolute;left:2093;top:895;width:100;height:87;visibility:visible;mso-wrap-style:square;v-text-anchor:top" coordsize="10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" path="m100,l,,50,86,100,xe" fillcolor="black" stroked="f">
                  <v:path arrowok="t" o:connecttype="custom" o:connectlocs="100,896;0,896;50,982;100,896" o:connectangles="0,0,0,0"/>
                </v:shape>
                <v:rect id="Rectangle 79" o:spid="_x0000_s1030" style="position:absolute;left:115;top:987;width:4054;height: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" filled="f" strokeweight=".5pt">
                  <v:path arrowok="t"/>
                </v:rect>
                <v:line id="Line 80" o:spid="_x0000_s1031" style="position:absolute;visibility:visible;mso-wrap-style:square" from="2143,1628" to="2143,17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" strokeweight=".5pt">
                  <o:lock v:ext="edit" shapetype="f"/>
                </v:line>
                <v:shape id="Freeform 81" o:spid="_x0000_s1032" style="position:absolute;left:2093;top:1766;width:100;height:87;visibility:visible;mso-wrap-style:square;v-text-anchor:top" coordsize="10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" path="m100,l,,50,86,100,xe" fillcolor="black" stroked="f">
                  <v:path arrowok="t" o:connecttype="custom" o:connectlocs="100,1766;0,1766;50,1852;100,1766" o:connectangles="0,0,0,0"/>
                </v:shape>
                <v:rect id="Rectangle 82" o:spid="_x0000_s1033" style="position:absolute;left:115;top:1857;width:4054;height: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" filled="f" strokeweight=".5pt">
                  <v:path arrowok="t"/>
                </v:rect>
                <v:line id="Line 83" o:spid="_x0000_s1034" style="position:absolute;visibility:visible;mso-wrap-style:square" from="2143,2485" to="2143,26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" strokeweight=".5pt">
                  <o:lock v:ext="edit" shapetype="f"/>
                </v:line>
                <v:shape id="Freeform 84" o:spid="_x0000_s1035" style="position:absolute;left:2093;top:2623;width:100;height:87;visibility:visible;mso-wrap-style:square;v-text-anchor:top" coordsize="10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" path="m100,l,,50,86,100,xe" fillcolor="black" stroked="f">
                  <v:path arrowok="t" o:connecttype="custom" o:connectlocs="100,2624;0,2624;50,2710;100,2624" o:connectangles="0,0,0,0"/>
                </v:shape>
                <v:rect id="Rectangle 85" o:spid="_x0000_s1036" style="position:absolute;left:115;top:2714;width:4054;height: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" filled="f" strokeweight=".5pt">
                  <v:path arrowok="t"/>
                </v:rect>
                <v:line id="Line 86" o:spid="_x0000_s1037" style="position:absolute;visibility:visible;mso-wrap-style:square" from="2143,3355" to="2143,3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" strokeweight=".5pt">
                  <o:lock v:ext="edit" shapetype="f"/>
                </v:line>
                <v:rect id="Rectangle 87" o:spid="_x0000_s1038" style="position:absolute;left:115;top:3579;width:4054;height:6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" filled="f" strokeweight=".5pt">
                  <v:path arrowok="t"/>
                </v:rect>
                <v:line id="Line 88" o:spid="_x0000_s1039" style="position:absolute;visibility:visible;mso-wrap-style:square" from="2143,4214" to="2143,4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" strokeweight=".5pt">
                  <o:lock v:ext="edit" shapetype="f"/>
                </v:line>
                <v:shape id="Freeform 89" o:spid="_x0000_s1040" style="position:absolute;left:2093;top:4349;width:100;height:87;visibility:visible;mso-wrap-style:square;v-text-anchor:top" coordsize="10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" path="m100,l,,50,87,100,xe" fillcolor="black" stroked="f">
                  <v:path arrowok="t" o:connecttype="custom" o:connectlocs="100,4349;0,4349;50,4436;100,4349" o:connectangles="0,0,0,0"/>
                </v:shape>
                <v:shape id="Freeform 90" o:spid="_x0000_s1041" style="position:absolute;left:2093;top:3488;width:100;height:87;visibility:visible;mso-wrap-style:square;v-text-anchor:top" coordsize="100,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" path="m100,l,,50,86,100,xe" fillcolor="black" stroked="f">
                  <v:path arrowok="t" o:connecttype="custom" o:connectlocs="100,3489;0,3489;50,3575;100,3489" o:connectangles="0,0,0,0"/>
                </v:shape>
                <v:shapetype id="_x0000_t202" coordsize="21600,21600" o:spt="202" path="m,l,21600r21600,l21600,xe">
                  <v:stroke joinstyle="miter"/>
                  <v:path gradientshapeok="t" o:connecttype="rect"/>
                </v:shapetype>
                <v:shape id="Text Box 91" o:spid="_x0000_s1042" type="#_x0000_t202" style="position:absolute;left:2;top:2;width:4281;height:5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" filled="f" strokecolor="#ca415a" strokeweight=".25pt">
                  <v:path arrowok="t"/>
                  <v:textbox inset="0,0,0,0">
                    <w:txbxContent>
                      <w:p w14:paraId="6C2BE233" w14:textId="77777777" w:rsidR="009A7522" w:rsidRDefault="009A7522" w:rsidP="005C1766">
                        <w:pPr>
                          <w:spacing w:before="10"/>
                          <w:ind w:left="227"/>
                          <w:rPr>
                            <w:rFonts w:ascii="Arial"/>
                            <w:sz w:val="15"/>
                          </w:rPr>
                        </w:pPr>
                      </w:p>
                      <w:p w14:paraId="6A91B97B" w14:textId="6284C996" w:rsidR="009A7522" w:rsidRPr="005C1766" w:rsidRDefault="009A7522" w:rsidP="005C1766">
                        <w:pPr>
                          <w:spacing w:line="249" w:lineRule="auto"/>
                          <w:ind w:left="227"/>
                          <w:rPr>
                            <w:rFonts w:ascii="Arial" w:hAnsi="Arial" w:cs="Times New Roman (Textkörper CS)"/>
                            <w:sz w:val="13"/>
                          </w:rPr>
                        </w:pPr>
                        <w:r w:rsidRPr="005C1766">
                          <w:rPr>
                            <w:rFonts w:ascii="Arial" w:hAnsi="Arial" w:cs="Times New Roman (Textkörper CS)"/>
                            <w:b/>
                            <w:sz w:val="13"/>
                          </w:rPr>
                          <w:t>Definition of issues</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May 4 to Aug 3, 2017</w:t>
                        </w:r>
                        <w:r w:rsidRPr="005C1766">
                          <w:rPr>
                            <w:rFonts w:ascii="Arial" w:hAnsi="Arial" w:cs="Times New Roman (Textkörper CS)"/>
                            <w:sz w:val="13"/>
                          </w:rPr>
                          <w:br/>
                          <w:t>Done by email</w:t>
                        </w:r>
                      </w:p>
                      <w:p w14:paraId="7385A6BB" w14:textId="77777777" w:rsidR="009A7522" w:rsidRPr="005C1766" w:rsidRDefault="009A7522" w:rsidP="005C1766">
                        <w:pPr>
                          <w:ind w:left="227"/>
                          <w:rPr>
                            <w:rFonts w:ascii="Arial" w:hAnsi="Arial" w:cs="Times New Roman (Textkörper CS)"/>
                            <w:sz w:val="16"/>
                          </w:rPr>
                        </w:pPr>
                      </w:p>
                      <w:p w14:paraId="695A4838" w14:textId="77777777" w:rsidR="009A7522" w:rsidRPr="005C1766" w:rsidRDefault="009A7522" w:rsidP="005C1766">
                        <w:pPr>
                          <w:spacing w:before="2"/>
                          <w:ind w:left="227"/>
                          <w:rPr>
                            <w:rFonts w:ascii="Arial" w:hAnsi="Arial" w:cs="Times New Roman (Textkörper CS)"/>
                            <w:sz w:val="19"/>
                          </w:rPr>
                        </w:pPr>
                      </w:p>
                      <w:p w14:paraId="479188F3" w14:textId="77777777" w:rsidR="009A7522" w:rsidRPr="00C94E0E" w:rsidRDefault="009A7522" w:rsidP="005C1766">
                        <w:pPr>
                          <w:spacing w:before="1"/>
                          <w:ind w:left="227"/>
                          <w:rPr>
                            <w:rFonts w:ascii="Arial" w:hAnsi="Arial" w:cs="Times New Roman (Textkörper CS)"/>
                            <w:b/>
                            <w:sz w:val="13"/>
                          </w:rPr>
                        </w:pPr>
                        <w:r w:rsidRPr="00C94E0E">
                          <w:rPr>
                            <w:rFonts w:ascii="Arial" w:hAnsi="Arial" w:cs="Times New Roman (Textkörper CS)"/>
                            <w:b/>
                            <w:sz w:val="13"/>
                          </w:rPr>
                          <w:t>Systematic review</w:t>
                        </w:r>
                      </w:p>
                      <w:p w14:paraId="353FAEBD" w14:textId="1B3657FC" w:rsidR="009A7522" w:rsidRPr="005C1766" w:rsidRDefault="009A7522" w:rsidP="005C1766">
                        <w:pPr>
                          <w:spacing w:before="6" w:line="249" w:lineRule="auto"/>
                          <w:ind w:left="227"/>
                          <w:rPr>
                            <w:rFonts w:ascii="Arial" w:hAnsi="Arial" w:cs="Times New Roman (Textkörper CS)"/>
                            <w:sz w:val="13"/>
                          </w:rPr>
                        </w:pPr>
                        <w:r w:rsidRPr="005C1766">
                          <w:rPr>
                            <w:rFonts w:ascii="Arial" w:hAnsi="Arial" w:cs="Times New Roman (Textkörper CS)"/>
                            <w:sz w:val="13"/>
                          </w:rPr>
                          <w:t xml:space="preserve">June 13 to July 31, 2017 </w:t>
                        </w:r>
                        <w:r>
                          <w:rPr>
                            <w:rFonts w:ascii="Arial" w:hAnsi="Arial" w:cs="Times New Roman (Textkörper CS)"/>
                            <w:sz w:val="13"/>
                          </w:rPr>
                          <w:br/>
                        </w:r>
                        <w:r w:rsidRPr="005C1766">
                          <w:rPr>
                            <w:rFonts w:ascii="Arial" w:hAnsi="Arial" w:cs="Times New Roman (Textkörper CS)"/>
                            <w:sz w:val="13"/>
                          </w:rPr>
                          <w:t>Done by email</w:t>
                        </w:r>
                      </w:p>
                      <w:p w14:paraId="671F680B" w14:textId="77777777" w:rsidR="009A7522" w:rsidRPr="005C1766" w:rsidRDefault="009A7522" w:rsidP="005C1766">
                        <w:pPr>
                          <w:ind w:left="227"/>
                          <w:rPr>
                            <w:rFonts w:ascii="Arial" w:hAnsi="Arial" w:cs="Times New Roman (Textkörper CS)"/>
                            <w:sz w:val="16"/>
                          </w:rPr>
                        </w:pPr>
                      </w:p>
                      <w:p w14:paraId="3AE7509A" w14:textId="77777777" w:rsidR="009A7522" w:rsidRPr="005C1766" w:rsidRDefault="009A7522" w:rsidP="005C1766">
                        <w:pPr>
                          <w:ind w:left="227"/>
                          <w:rPr>
                            <w:rFonts w:ascii="Arial" w:hAnsi="Arial" w:cs="Times New Roman (Textkörper CS)"/>
                            <w:sz w:val="19"/>
                          </w:rPr>
                        </w:pPr>
                      </w:p>
                      <w:p w14:paraId="570BFF48" w14:textId="77777777" w:rsidR="009A7522" w:rsidRPr="00C94E0E" w:rsidRDefault="009A7522" w:rsidP="005C1766">
                        <w:pPr>
                          <w:ind w:left="227"/>
                          <w:rPr>
                            <w:rFonts w:ascii="Arial" w:hAnsi="Arial" w:cs="Times New Roman (Textkörper CS)"/>
                            <w:b/>
                            <w:sz w:val="13"/>
                          </w:rPr>
                        </w:pPr>
                        <w:r w:rsidRPr="00C94E0E">
                          <w:rPr>
                            <w:rFonts w:ascii="Arial" w:hAnsi="Arial" w:cs="Times New Roman (Textkörper CS)"/>
                            <w:b/>
                            <w:sz w:val="13"/>
                          </w:rPr>
                          <w:t>Round 1: questionnaire</w:t>
                        </w:r>
                      </w:p>
                      <w:p w14:paraId="024D571C" w14:textId="77777777" w:rsidR="009A7522" w:rsidRPr="005C1766" w:rsidRDefault="009A7522" w:rsidP="005C1766">
                        <w:pPr>
                          <w:spacing w:before="7"/>
                          <w:ind w:left="227"/>
                          <w:rPr>
                            <w:rFonts w:ascii="Arial" w:hAnsi="Arial" w:cs="Times New Roman (Textkörper CS)"/>
                            <w:sz w:val="13"/>
                          </w:rPr>
                        </w:pPr>
                        <w:r w:rsidRPr="005C1766">
                          <w:rPr>
                            <w:rFonts w:ascii="Arial" w:hAnsi="Arial" w:cs="Times New Roman (Textkörper CS)"/>
                            <w:sz w:val="13"/>
                          </w:rPr>
                          <w:t>Aug 6–14, 2017</w:t>
                        </w:r>
                      </w:p>
                      <w:p w14:paraId="6C137A80" w14:textId="77777777" w:rsidR="009A7522" w:rsidRPr="005C1766" w:rsidRDefault="009A7522" w:rsidP="005C1766">
                        <w:pPr>
                          <w:spacing w:before="6"/>
                          <w:ind w:left="227"/>
                          <w:rPr>
                            <w:rFonts w:ascii="Arial" w:hAnsi="Arial" w:cs="Times New Roman (Textkörper CS)"/>
                            <w:sz w:val="13"/>
                          </w:rPr>
                        </w:pPr>
                        <w:r w:rsidRPr="005C1766">
                          <w:rPr>
                            <w:rFonts w:ascii="Arial" w:hAnsi="Arial" w:cs="Times New Roman (Textkörper CS)"/>
                            <w:sz w:val="13"/>
                          </w:rPr>
                          <w:t>Done by email</w:t>
                        </w:r>
                      </w:p>
                      <w:p w14:paraId="424F7C95" w14:textId="77777777" w:rsidR="009A7522" w:rsidRPr="005C1766" w:rsidRDefault="009A7522" w:rsidP="005C1766">
                        <w:pPr>
                          <w:ind w:left="227"/>
                          <w:rPr>
                            <w:rFonts w:ascii="Arial" w:hAnsi="Arial" w:cs="Times New Roman (Textkörper CS)"/>
                            <w:sz w:val="16"/>
                          </w:rPr>
                        </w:pPr>
                      </w:p>
                      <w:p w14:paraId="7E6B4940" w14:textId="77777777" w:rsidR="009A7522" w:rsidRPr="005C1766" w:rsidRDefault="009A7522" w:rsidP="005C1766">
                        <w:pPr>
                          <w:spacing w:before="5"/>
                          <w:ind w:left="227"/>
                          <w:rPr>
                            <w:rFonts w:ascii="Arial" w:hAnsi="Arial" w:cs="Times New Roman (Textkörper CS)"/>
                            <w:sz w:val="18"/>
                          </w:rPr>
                        </w:pPr>
                      </w:p>
                      <w:p w14:paraId="74E61661" w14:textId="0EDA25E2" w:rsidR="009A7522" w:rsidRPr="005C1766" w:rsidRDefault="009A7522" w:rsidP="005C1766">
                        <w:pPr>
                          <w:spacing w:line="249" w:lineRule="auto"/>
                          <w:ind w:left="227"/>
                          <w:rPr>
                            <w:rFonts w:ascii="Arial" w:hAnsi="Arial" w:cs="Times New Roman (Textkörper CS)"/>
                            <w:sz w:val="13"/>
                          </w:rPr>
                        </w:pPr>
                        <w:r w:rsidRPr="00C94E0E">
                          <w:rPr>
                            <w:rFonts w:ascii="Arial" w:hAnsi="Arial" w:cs="Times New Roman (Textkörper CS)"/>
                            <w:b/>
                            <w:sz w:val="13"/>
                          </w:rPr>
                          <w:t>Round 2: refined questionnaire</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Oct 5–31, 2017</w:t>
                        </w:r>
                      </w:p>
                      <w:p w14:paraId="39F58A70" w14:textId="77777777" w:rsidR="009A7522" w:rsidRPr="005C1766" w:rsidRDefault="009A7522" w:rsidP="005C1766">
                        <w:pPr>
                          <w:spacing w:before="1"/>
                          <w:ind w:left="227"/>
                          <w:rPr>
                            <w:rFonts w:ascii="Arial" w:hAnsi="Arial" w:cs="Times New Roman (Textkörper CS)"/>
                            <w:sz w:val="13"/>
                          </w:rPr>
                        </w:pPr>
                        <w:r w:rsidRPr="005C1766">
                          <w:rPr>
                            <w:rFonts w:ascii="Arial" w:hAnsi="Arial" w:cs="Times New Roman (Textkörper CS)"/>
                            <w:sz w:val="13"/>
                          </w:rPr>
                          <w:t>Done by email</w:t>
                        </w:r>
                      </w:p>
                      <w:p w14:paraId="1BCCC6A1" w14:textId="77777777" w:rsidR="009A7522" w:rsidRPr="005C1766" w:rsidRDefault="009A7522" w:rsidP="005C1766">
                        <w:pPr>
                          <w:ind w:left="227"/>
                          <w:rPr>
                            <w:rFonts w:ascii="Arial" w:hAnsi="Arial" w:cs="Times New Roman (Textkörper CS)"/>
                            <w:sz w:val="16"/>
                          </w:rPr>
                        </w:pPr>
                      </w:p>
                      <w:p w14:paraId="19ECBD19" w14:textId="77777777" w:rsidR="009A7522" w:rsidRPr="005C1766" w:rsidRDefault="009A7522" w:rsidP="005C1766">
                        <w:pPr>
                          <w:spacing w:before="1"/>
                          <w:ind w:left="227"/>
                          <w:rPr>
                            <w:rFonts w:ascii="Arial" w:hAnsi="Arial" w:cs="Times New Roman (Textkörper CS)"/>
                            <w:sz w:val="19"/>
                          </w:rPr>
                        </w:pPr>
                      </w:p>
                      <w:p w14:paraId="2A1F1ACF" w14:textId="61EBFF94" w:rsidR="009A7522" w:rsidRPr="005C1766" w:rsidRDefault="009A7522" w:rsidP="005C1766">
                        <w:pPr>
                          <w:spacing w:before="1" w:line="249" w:lineRule="auto"/>
                          <w:ind w:left="227"/>
                          <w:rPr>
                            <w:rFonts w:ascii="Arial" w:hAnsi="Arial" w:cs="Times New Roman (Textkörper CS)"/>
                            <w:sz w:val="13"/>
                          </w:rPr>
                        </w:pPr>
                        <w:r w:rsidRPr="00C94E0E">
                          <w:rPr>
                            <w:rFonts w:ascii="Arial" w:hAnsi="Arial" w:cs="Times New Roman (Textkörper CS)"/>
                            <w:b/>
                            <w:sz w:val="13"/>
                          </w:rPr>
                          <w:t>Round 3: consensus meeting</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Feb 1–3, 2018</w:t>
                        </w:r>
                      </w:p>
                      <w:p w14:paraId="06544FEB" w14:textId="5B5C93C3" w:rsidR="009A7522" w:rsidRDefault="009A7522" w:rsidP="005C1766">
                        <w:pPr>
                          <w:spacing w:before="1"/>
                          <w:ind w:left="227"/>
                          <w:rPr>
                            <w:rFonts w:ascii="Arial"/>
                            <w:sz w:val="13"/>
                          </w:rPr>
                        </w:pPr>
                        <w:r w:rsidRPr="005C1766">
                          <w:rPr>
                            <w:rFonts w:ascii="Arial" w:hAnsi="Arial" w:cs="Times New Roman (Textkörper CS)"/>
                            <w:sz w:val="13"/>
                          </w:rPr>
                          <w:t>EANM Focus 1 meeting (Valencia, Spain</w:t>
                        </w:r>
                        <w:r>
                          <w:rPr>
                            <w:rFonts w:ascii="Arial"/>
                            <w:sz w:val="13"/>
                          </w:rPr>
                          <w:t>)</w:t>
                        </w:r>
                      </w:p>
                      <w:p w14:paraId="099D82AD" w14:textId="7AAACA5C" w:rsidR="009A7522" w:rsidRDefault="009A7522" w:rsidP="005C1766">
                        <w:pPr>
                          <w:spacing w:before="1"/>
                          <w:ind w:left="227"/>
                          <w:rPr>
                            <w:rFonts w:ascii="Arial"/>
                            <w:sz w:val="13"/>
                          </w:rPr>
                        </w:pPr>
                      </w:p>
                      <w:p w14:paraId="05222F60" w14:textId="0B802469" w:rsidR="009A7522" w:rsidRDefault="009A7522" w:rsidP="005C1766">
                        <w:pPr>
                          <w:spacing w:before="1"/>
                          <w:ind w:left="227"/>
                          <w:rPr>
                            <w:rFonts w:ascii="Arial"/>
                            <w:sz w:val="13"/>
                          </w:rPr>
                        </w:pPr>
                      </w:p>
                      <w:p w14:paraId="29FB29C1" w14:textId="782D93EA" w:rsidR="009A7522" w:rsidRPr="005C1766" w:rsidRDefault="009A7522" w:rsidP="005C1766">
                        <w:pPr>
                          <w:spacing w:before="66" w:line="249" w:lineRule="auto"/>
                          <w:ind w:left="227"/>
                          <w:rPr>
                            <w:rFonts w:ascii="Arial" w:hAnsi="Arial" w:cs="Times New Roman (Textkörper CS)"/>
                            <w:sz w:val="13"/>
                          </w:rPr>
                        </w:pPr>
                        <w:r w:rsidRPr="00C94E0E">
                          <w:rPr>
                            <w:rFonts w:ascii="Arial" w:hAnsi="Arial" w:cs="Times New Roman (Textkörper CS)"/>
                            <w:b/>
                            <w:sz w:val="13"/>
                          </w:rPr>
                          <w:t>Final consensus analysis</w:t>
                        </w:r>
                        <w:r w:rsidRPr="005C1766">
                          <w:rPr>
                            <w:rFonts w:ascii="Arial" w:hAnsi="Arial" w:cs="Times New Roman (Textkörper CS)"/>
                            <w:sz w:val="13"/>
                          </w:rPr>
                          <w:t xml:space="preserve"> </w:t>
                        </w:r>
                        <w:r>
                          <w:rPr>
                            <w:rFonts w:ascii="Arial" w:hAnsi="Arial" w:cs="Times New Roman (Textkörper CS)"/>
                            <w:sz w:val="13"/>
                          </w:rPr>
                          <w:br/>
                        </w:r>
                        <w:r w:rsidRPr="005C1766">
                          <w:rPr>
                            <w:rFonts w:ascii="Arial" w:hAnsi="Arial" w:cs="Times New Roman (Textkörper CS)"/>
                            <w:sz w:val="13"/>
                          </w:rPr>
                          <w:t>Feb 4–20, 2018</w:t>
                        </w:r>
                      </w:p>
                      <w:p w14:paraId="237DACFA" w14:textId="386C8B1B" w:rsidR="009A7522" w:rsidRDefault="009A7522" w:rsidP="005C1766">
                        <w:pPr>
                          <w:spacing w:before="1"/>
                          <w:ind w:left="227"/>
                          <w:rPr>
                            <w:rFonts w:ascii="Arial" w:hAnsi="Arial" w:cs="Times New Roman (Textkörper CS)"/>
                            <w:sz w:val="13"/>
                          </w:rPr>
                        </w:pPr>
                        <w:r w:rsidRPr="005C1766">
                          <w:rPr>
                            <w:rFonts w:ascii="Arial" w:hAnsi="Arial" w:cs="Times New Roman (Textkörper CS)"/>
                            <w:sz w:val="13"/>
                          </w:rPr>
                          <w:t>Done by email</w:t>
                        </w:r>
                      </w:p>
                      <w:p w14:paraId="3721616D" w14:textId="77777777" w:rsidR="009A7522" w:rsidRPr="005C1766" w:rsidRDefault="009A7522" w:rsidP="005C1766">
                        <w:pPr>
                          <w:spacing w:before="1"/>
                          <w:ind w:left="227"/>
                          <w:rPr>
                            <w:rFonts w:ascii="Arial" w:hAnsi="Arial" w:cs="Times New Roman (Textkörper CS)"/>
                            <w:sz w:val="13"/>
                          </w:rPr>
                        </w:pPr>
                      </w:p>
                      <w:p w14:paraId="4E017BE7" w14:textId="77777777" w:rsidR="009A7522" w:rsidRDefault="009A7522" w:rsidP="005C1766">
                        <w:pPr>
                          <w:spacing w:before="1"/>
                          <w:ind w:left="227"/>
                          <w:rPr>
                            <w:rFonts w:ascii="Arial"/>
                            <w:sz w:val="13"/>
                          </w:rPr>
                        </w:pPr>
                      </w:p>
                    </w:txbxContent>
                  </v:textbox>
                </v:shape>
                <v:shape id="Text Box 92" o:spid="_x0000_s1043" type="#_x0000_t202" style="position:absolute;left:115;top:4441;width:4054;height: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" filled="f" strokeweight=".5pt">
                  <v:path arrowok="t"/>
                  <v:textbox inset="0,0,0,0">
                    <w:txbxContent>
                      <w:p w14:paraId="40325B5E" w14:textId="7A6A4EC3" w:rsidR="009A7522" w:rsidRDefault="009A7522" w:rsidP="005C1766">
                        <w:pPr>
                          <w:spacing w:before="1"/>
                          <w:rPr>
                            <w:rFonts w:ascii="Arial"/>
                            <w:sz w:val="13"/>
                          </w:rPr>
                        </w:pPr>
                      </w:p>
                    </w:txbxContent>
                  </v:textbox>
                </v:shape>
                <w10:wrap type="square"/>
              </v:group>
            </w:pict>
          </mc:Fallback>
        </mc:AlternateContent>
      </w:r>
    </w:p>
    <w:p w14:paraId="7FE912B5" w14:textId="77777777" w:rsidR="00C94E0E" w:rsidRPr="00C94E0E" w:rsidRDefault="00C94E0E" w:rsidP="00C94E0E">
      <w:pPr>
        <w:spacing w:before="50"/>
        <w:ind w:left="108"/>
        <w:rPr>
          <w:rFonts w:ascii="Arial Narrow" w:hAnsi="Arial Narrow" w:cs="Times New Roman (Textkörper CS)"/>
          <w:b/>
          <w:sz w:val="14"/>
        </w:rPr>
      </w:pPr>
      <w:r w:rsidRPr="00C94E0E">
        <w:rPr>
          <w:rFonts w:ascii="Arial Narrow" w:hAnsi="Arial Narrow" w:cs="Times New Roman (Textkörper CS)"/>
          <w:b/>
          <w:sz w:val="14"/>
        </w:rPr>
        <w:t>Figure: Details of all stages of the modified Delphi process</w:t>
      </w:r>
    </w:p>
    <w:p w14:paraId="5CBBE155" w14:textId="77777777" w:rsidR="00C94E0E" w:rsidRDefault="00C94E0E" w:rsidP="00AF1233">
      <w:pPr>
        <w:pStyle w:val="FliesstextSpalten"/>
        <w:ind w:firstLine="110"/>
        <w:rPr>
          <w:lang w:val="en-US"/>
        </w:rPr>
      </w:pPr>
    </w:p>
    <w:p w14:paraId="332C09B3" w14:textId="2B7FB127" w:rsidR="00245612" w:rsidRDefault="00245612" w:rsidP="00AF1233">
      <w:pPr>
        <w:pStyle w:val="FliesstextSpalten"/>
        <w:ind w:firstLine="110"/>
      </w:pPr>
      <w:r w:rsidRPr="00245612">
        <w:t>For this purpose</w:t>
      </w:r>
      <w:r w:rsidRPr="00245612">
        <w:rPr>
          <w:sz w:val="16"/>
        </w:rPr>
        <w:t xml:space="preserve">, </w:t>
      </w:r>
      <w:r w:rsidRPr="00245612">
        <w:t>a multidisciplinary panel of inter- national experts was established with representation from all involved specialties that included a balanced number of oncologists, urologists, radiation oncologists, radiologists, and nuclear medicine specialists, to achieve a less biased consensus than those conducted with more restrictive representation of specialties; patient advocates were also involved.</w:t>
      </w:r>
    </w:p>
    <w:p w14:paraId="003EC179" w14:textId="77777777" w:rsidR="00245612" w:rsidRPr="00245612" w:rsidRDefault="00245612" w:rsidP="00245612">
      <w:pPr>
        <w:pStyle w:val="FliesstextSpalten"/>
      </w:pPr>
    </w:p>
    <w:p w14:paraId="3B7CD638" w14:textId="77777777" w:rsidR="00245612" w:rsidRPr="00245612" w:rsidRDefault="00245612" w:rsidP="00C94E0E">
      <w:pPr>
        <w:pStyle w:val="Headlines"/>
        <w:ind w:firstLine="0"/>
      </w:pPr>
      <w:r w:rsidRPr="00245612">
        <w:t>Data collection</w:t>
      </w:r>
    </w:p>
    <w:p w14:paraId="3F32F30B" w14:textId="77777777" w:rsidR="00245612" w:rsidRPr="00DF6988" w:rsidRDefault="00245612" w:rsidP="00C94E0E">
      <w:pPr>
        <w:pStyle w:val="FliesstextSpalten"/>
        <w:ind w:firstLine="0"/>
        <w:rPr>
          <w:rFonts w:ascii="Arial" w:hAnsi="Arial" w:cs="Arial"/>
          <w:b/>
        </w:rPr>
      </w:pPr>
      <w:r w:rsidRPr="00DF6988">
        <w:rPr>
          <w:rFonts w:ascii="Arial" w:hAnsi="Arial" w:cs="Arial"/>
          <w:b/>
        </w:rPr>
        <w:t>Panellist selection</w:t>
      </w:r>
    </w:p>
    <w:p w14:paraId="20A2B887" w14:textId="77777777" w:rsidR="00245612" w:rsidRPr="00245612" w:rsidRDefault="00245612" w:rsidP="00C94E0E">
      <w:pPr>
        <w:pStyle w:val="FliesstextSpalten"/>
        <w:ind w:firstLine="0"/>
      </w:pPr>
      <w:r w:rsidRPr="00245612">
        <w:t xml:space="preserve">Panellists were selected on the basis of their expertise and publication record in the diagnosis or treatment of prostate cancer as well as on their involvement in the development of guidelines. We sought representation of all core clinical disciplines listed </w:t>
      </w:r>
      <w:r w:rsidRPr="00245612">
        <w:lastRenderedPageBreak/>
        <w:t>previously, and panellists were actively involved in all stages of a modified Delphi consensus process (figure). Preference was given to candidates already involved in similar guideline projects. Availability for the modified Delphi consensus process and the Focus 1 meeting (Feb 1–3, 2018, in Valencia, Spain) helped determine the final selection of experts. Overall, the panellist selection process assured broad representation from the respective disciplines for prostate cancer.</w:t>
      </w:r>
    </w:p>
    <w:p w14:paraId="1D8DCA1E" w14:textId="77777777" w:rsidR="00245612" w:rsidRPr="00245612" w:rsidRDefault="00245612" w:rsidP="00245612">
      <w:pPr>
        <w:pStyle w:val="FliesstextSpalten"/>
        <w:rPr>
          <w:sz w:val="17"/>
        </w:rPr>
      </w:pPr>
    </w:p>
    <w:p w14:paraId="638FA7C7" w14:textId="77777777" w:rsidR="00245612" w:rsidRPr="00AF1233" w:rsidRDefault="00245612" w:rsidP="00C94E0E">
      <w:pPr>
        <w:pStyle w:val="Headline-SUB"/>
      </w:pPr>
      <w:r w:rsidRPr="00AF1233">
        <w:t>Search strategy and selection criteria</w:t>
      </w:r>
    </w:p>
    <w:p w14:paraId="153B45FF" w14:textId="63F483E5" w:rsidR="00245612" w:rsidRDefault="00245612" w:rsidP="00C94E0E">
      <w:pPr>
        <w:pStyle w:val="FliesstextSpalten"/>
        <w:ind w:firstLine="0"/>
      </w:pPr>
      <w:r w:rsidRPr="00245612">
        <w:t>We first identified the clinical needs of patients and the clinical team in conjunction with areas in which the use of imaging to inform disease status and radiopharmaceuticals for therapy is known to be useful. We did a comprehensive literature search on PubMed from Jan 1, 2007, to</w:t>
      </w:r>
      <w:r w:rsidR="00AF1233">
        <w:t xml:space="preserve"> </w:t>
      </w:r>
      <w:r w:rsidRPr="00245612">
        <w:t>May 31, 2017, using Mesh vocabulary keywords and free- text words for studies published in English (appendix p 2). We included studies assessing the diagnostic accuracy or the detection rate of the eight imaging methods (bone scintigraphy,</w:t>
      </w:r>
      <w:r w:rsidRPr="00245612">
        <w:rPr>
          <w:position w:val="6"/>
          <w:sz w:val="9"/>
        </w:rPr>
        <w:t xml:space="preserve">15 </w:t>
      </w:r>
      <w:r w:rsidRPr="00245612">
        <w:t>CT,</w:t>
      </w:r>
      <w:r w:rsidRPr="00245612">
        <w:rPr>
          <w:position w:val="6"/>
          <w:sz w:val="9"/>
        </w:rPr>
        <w:t xml:space="preserve">16 </w:t>
      </w:r>
      <w:r w:rsidRPr="00245612">
        <w:t>fluoride PET-CT,</w:t>
      </w:r>
      <w:r w:rsidRPr="00245612">
        <w:rPr>
          <w:position w:val="6"/>
          <w:sz w:val="9"/>
        </w:rPr>
        <w:t xml:space="preserve">17 </w:t>
      </w:r>
      <w:r w:rsidRPr="00245612">
        <w:t>choline PET-CT,</w:t>
      </w:r>
      <w:r w:rsidRPr="00245612">
        <w:rPr>
          <w:position w:val="6"/>
          <w:sz w:val="9"/>
        </w:rPr>
        <w:t xml:space="preserve">15,18–23 </w:t>
      </w:r>
      <w:r w:rsidRPr="00245612">
        <w:t>prostate specific membrane antigen [PSMA] PET-CT,</w:t>
      </w:r>
      <w:r w:rsidRPr="00245612">
        <w:rPr>
          <w:position w:val="6"/>
          <w:sz w:val="9"/>
        </w:rPr>
        <w:t xml:space="preserve">24 </w:t>
      </w:r>
      <w:r w:rsidRPr="00245612">
        <w:t>fluciclovine PET-CT,</w:t>
      </w:r>
      <w:r w:rsidRPr="00245612">
        <w:rPr>
          <w:position w:val="6"/>
          <w:sz w:val="9"/>
        </w:rPr>
        <w:t xml:space="preserve">25 </w:t>
      </w:r>
      <w:r w:rsidRPr="00245612">
        <w:t>whole-body MRI,</w:t>
      </w:r>
      <w:r w:rsidRPr="00245612">
        <w:rPr>
          <w:position w:val="6"/>
          <w:sz w:val="9"/>
        </w:rPr>
        <w:t xml:space="preserve">16,26,27 </w:t>
      </w:r>
      <w:r w:rsidRPr="00245612">
        <w:t>and multi- parametric MRI</w:t>
      </w:r>
      <w:r w:rsidRPr="00245612">
        <w:rPr>
          <w:position w:val="6"/>
          <w:sz w:val="9"/>
        </w:rPr>
        <w:t>28</w:t>
      </w:r>
      <w:r w:rsidRPr="00245612">
        <w:t>) for staging of prostate cancer at the first diagnosis, detection of the site of recurrence at biochemical relapse, and detection of the sites and the spread of metastases at metastatic castration-resistant prostate cancer. We included the efficacy of radium-223, PSMA therapeutic radiopharmaceuticals, or other radiopharma- ceuticals on overall survival or progression-free survival in patients with advanced prostate cancer (advanced castration-resistant prostate cancer). To avoid repetition of information and of primary studies, only the best systematic reviews were considered. The criteria for selection of the best and most useful reviews were: correlation between the inclusion criteria of the review and our objectives, the methodological quality of the review, use of up-to-date literature, the overall number of included studies, and the availability of meta-analysis. For therapy of advanced prostate cancer with radiopharma- ceuticals, when no systematic reviews were found (namely for radium-223), we searched for primary studies,</w:t>
      </w:r>
      <w:r w:rsidRPr="00245612">
        <w:rPr>
          <w:position w:val="6"/>
          <w:sz w:val="9"/>
        </w:rPr>
        <w:t xml:space="preserve">29–31 </w:t>
      </w:r>
      <w:r w:rsidRPr="00245612">
        <w:t>which largely consisted of randomised controlled trials, although if none were found, we enlarged our search to include controlled, non-randomised studies and uncontrolled case series. We assessed the methodological quality of the included studies and produced evidence tables and summary documents, which were made available to the panellists.</w:t>
      </w:r>
    </w:p>
    <w:p w14:paraId="1DF8F5A5" w14:textId="77777777" w:rsidR="00245612" w:rsidRPr="00AF1233" w:rsidRDefault="00245612" w:rsidP="00C94E0E">
      <w:pPr>
        <w:pStyle w:val="Headlines"/>
        <w:ind w:firstLine="0"/>
      </w:pPr>
      <w:r w:rsidRPr="00AF1233">
        <w:t>Questionnaire</w:t>
      </w:r>
    </w:p>
    <w:p w14:paraId="72F482A5" w14:textId="77777777" w:rsidR="00245612" w:rsidRPr="00245612" w:rsidRDefault="00245612" w:rsidP="00C94E0E">
      <w:pPr>
        <w:pStyle w:val="FliesstextSpalten"/>
        <w:ind w:firstLine="0"/>
        <w:rPr>
          <w:sz w:val="9"/>
        </w:rPr>
      </w:pPr>
      <w:r w:rsidRPr="00245612">
        <w:t>With the results of the literature review (appendix) used as a basis to tackle the most pertinent questions relating to prostate cancer imaging, a questionnaire was proposed and agreed upon among the panellists. A modified Delphi process was then used to gain a structured consensus on each of these identified and researched topics.</w:t>
      </w:r>
      <w:r w:rsidRPr="00245612">
        <w:rPr>
          <w:position w:val="6"/>
          <w:sz w:val="9"/>
        </w:rPr>
        <w:t xml:space="preserve">32 </w:t>
      </w:r>
      <w:r w:rsidRPr="00245612">
        <w:t>Anonymised summaries of the first two rounds of the modified Delphi process served as the basis for live presentations and further discussions during the EANM Focus 1 meeting. For questions that did not achieve consensus during Delphi rounds 1 and 2, the panellists were asked to vote again at the meeting after presentation of the data from these rounds and moderated discussion (round 3). We adopted a 70% cutoff point to determine consensus. An agreement between 60% and 80% is considered substantial according to the classification of Landis and Koch,</w:t>
      </w:r>
      <w:r w:rsidRPr="00245612">
        <w:rPr>
          <w:position w:val="6"/>
          <w:sz w:val="9"/>
        </w:rPr>
        <w:t xml:space="preserve">33 </w:t>
      </w:r>
      <w:r w:rsidRPr="00245612">
        <w:t>and a threshold of 70% is consistent with other consensus procedures.</w:t>
      </w:r>
      <w:r w:rsidRPr="00245612">
        <w:rPr>
          <w:position w:val="6"/>
          <w:sz w:val="9"/>
        </w:rPr>
        <w:t>34–38</w:t>
      </w:r>
    </w:p>
    <w:p w14:paraId="68A9EDA3" w14:textId="23D39CCE" w:rsidR="006D4953" w:rsidRDefault="00245612" w:rsidP="00C94E0E">
      <w:pPr>
        <w:pStyle w:val="FliesstextSpalten"/>
      </w:pPr>
      <w:r w:rsidRPr="006D4953">
        <w:t>For all questions, unless stated otherwise, we assumed</w:t>
      </w:r>
      <w:r w:rsidR="00C94E0E">
        <w:t xml:space="preserve"> </w:t>
      </w:r>
      <w:r w:rsidRPr="006D4953">
        <w:t>that all treatments and diagnostic procedures mentioned were readily available and affordable, and that there were no treatment or imaging contraindications. All questions</w:t>
      </w:r>
      <w:r w:rsidR="006D4953" w:rsidRPr="006D4953">
        <w:t xml:space="preserve"> referred to non-frail patients and patients with prostate adenocarcinoma, unless stated otherwise. We note that separating frail and non-frail patients is mandatory for guidelines for patient management and particularly therapies used in treatment, but our report mostly concerns imaging for diagnosis and is, thus, applicable to both frail and non-frail patients. During preparation of the questionnaire, panellists were asked about the separation of subgroups of patients on the basis of various clinincal categories (eg, castration-naive or castration-resistant prostate cancer and intermediate-risk or high-risk). Although separation of castration-naive prostate cancer from castration-resistant prostate cancer was requested, separation of patients according to life expectancy was not. The questionnaire was sent to a total of 25 panellists. If a panellist did not answer a question, it was either because they abstained, did not feel qualified to answer, or did not provide a response. These panellists did, however, answer other questions.</w:t>
      </w:r>
    </w:p>
    <w:p w14:paraId="01458B82" w14:textId="77777777" w:rsidR="006D4953" w:rsidRPr="006D4953" w:rsidRDefault="006D4953" w:rsidP="00C94E0E">
      <w:pPr>
        <w:pStyle w:val="FliesstextSpalten"/>
        <w:ind w:firstLine="0"/>
      </w:pPr>
    </w:p>
    <w:p w14:paraId="5A0E7A81" w14:textId="77777777" w:rsidR="006D4953" w:rsidRPr="006D4953" w:rsidRDefault="006D4953" w:rsidP="00C94E0E">
      <w:pPr>
        <w:pStyle w:val="Headlines"/>
        <w:ind w:firstLine="0"/>
      </w:pPr>
      <w:bookmarkStart w:id="6" w:name="Findings"/>
      <w:bookmarkEnd w:id="6"/>
      <w:r w:rsidRPr="006D4953">
        <w:t>Findings</w:t>
      </w:r>
    </w:p>
    <w:p w14:paraId="787E7D1A" w14:textId="77777777" w:rsidR="006D4953" w:rsidRPr="006D4953" w:rsidRDefault="006D4953" w:rsidP="00C94E0E">
      <w:pPr>
        <w:pStyle w:val="FliesstextSpalten"/>
        <w:ind w:firstLine="0"/>
      </w:pPr>
      <w:bookmarkStart w:id="7" w:name="Imaging_for_staging_of_prostate_cancer"/>
      <w:bookmarkStart w:id="8" w:name="Imaging_at_biochemical_recurrence"/>
      <w:bookmarkEnd w:id="7"/>
      <w:bookmarkEnd w:id="8"/>
      <w:r w:rsidRPr="006D4953">
        <w:t>Four clinical topics were identified from the systematic review that informed the subsequent modified Delphi process. These were imaging for staging of prostate cancer, imaging at biochemical recurrence of prostate cancer, imaging of advanced prostate cancer, and therapy of metastatic castration-</w:t>
      </w:r>
      <w:r w:rsidRPr="006D4953">
        <w:lastRenderedPageBreak/>
        <w:t>resistant prostate cancer with radiopharmaceuticals. Findings that were asked in the questionnaire can be found in the table.</w:t>
      </w:r>
    </w:p>
    <w:p w14:paraId="27925146" w14:textId="77777777" w:rsidR="006D4953" w:rsidRPr="006D4953" w:rsidRDefault="006D4953" w:rsidP="00C94E0E">
      <w:pPr>
        <w:pStyle w:val="FliesstextSpalten"/>
        <w:rPr>
          <w:sz w:val="17"/>
        </w:rPr>
      </w:pPr>
    </w:p>
    <w:p w14:paraId="3344A39A" w14:textId="77777777" w:rsidR="006D4953" w:rsidRPr="006D4953" w:rsidRDefault="006D4953" w:rsidP="00C94E0E">
      <w:pPr>
        <w:pStyle w:val="Headline-SUB"/>
      </w:pPr>
      <w:r w:rsidRPr="006D4953">
        <w:t>Imaging for staging of prostate cancer</w:t>
      </w:r>
    </w:p>
    <w:p w14:paraId="6B45151F" w14:textId="77777777" w:rsidR="006D4953" w:rsidRPr="006D4953" w:rsidRDefault="006D4953" w:rsidP="00C94E0E">
      <w:pPr>
        <w:pStyle w:val="FliesstextSpalten"/>
        <w:ind w:firstLine="0"/>
      </w:pPr>
      <w:r w:rsidRPr="006D4953">
        <w:t>Consensus on which patients with prostate cancer should have imaging for staging was consistent with the EAU- ESTRO-SIOG guidelines that recommend no additional imaging for staging purposes for low-risk, localised prostate cancer.</w:t>
      </w:r>
      <w:r w:rsidRPr="006D4953">
        <w:rPr>
          <w:position w:val="6"/>
          <w:sz w:val="9"/>
        </w:rPr>
        <w:t xml:space="preserve">13,14 </w:t>
      </w:r>
      <w:r w:rsidRPr="006D4953">
        <w:t>The panellists considered bone scintigraphy necessary in a minority of selected patients at staging based on risk and  symptoms,  although  two panellists considered it necessary only if other methods were not available, whereas one panellist con- sidered it necessary for the majority of patients. This consensus is similar to clinical guidelines</w:t>
      </w:r>
      <w:r w:rsidRPr="006D4953">
        <w:rPr>
          <w:position w:val="6"/>
          <w:sz w:val="9"/>
        </w:rPr>
        <w:t xml:space="preserve">13,14 </w:t>
      </w:r>
      <w:r w:rsidRPr="006D4953">
        <w:t>in which bone scintigraphy is recommended in the presence of high-risk features amd symptoms (eg, prostate-specific antigen [PSA]). The panellists also preferred the use of CT at staging only in a minority of patients selected on the basis of risk and symptoms.</w:t>
      </w:r>
    </w:p>
    <w:p w14:paraId="72C1609D" w14:textId="0BEBF08A" w:rsidR="006D4953" w:rsidRPr="006D4953" w:rsidRDefault="006D4953" w:rsidP="00C94E0E">
      <w:pPr>
        <w:pStyle w:val="FliesstextSpalten"/>
        <w:rPr>
          <w:sz w:val="9"/>
        </w:rPr>
      </w:pPr>
      <w:r w:rsidRPr="006D4953">
        <w:t>Overall, little evidence exists that sodium fluoride</w:t>
      </w:r>
      <w:r w:rsidR="00DF6988">
        <w:t xml:space="preserve"> </w:t>
      </w:r>
      <w:r w:rsidRPr="006D4953">
        <w:t>(NaF) PET-CT scans change patient management, because the overall prevalence of metastases from prostate cancer is low and bone scans detect at least one metastasis in patients in whom several metastases might be detected by NaF scans; a solitary metastasis is detected by NaF PET-CT in only a few patients.</w:t>
      </w:r>
      <w:r w:rsidRPr="006D4953">
        <w:rPr>
          <w:position w:val="6"/>
          <w:sz w:val="9"/>
        </w:rPr>
        <w:t>39</w:t>
      </w:r>
    </w:p>
    <w:p w14:paraId="64D04FEB" w14:textId="2B460C5E" w:rsidR="006D4953" w:rsidRPr="006D4953" w:rsidRDefault="006D4953" w:rsidP="00C94E0E">
      <w:pPr>
        <w:pStyle w:val="FliesstextSpalten"/>
      </w:pPr>
      <w:r w:rsidRPr="006D4953">
        <w:t>Panellists did not recommend routine fluoride PET at staging, and only two panellists felt it could be recom- mended in a minority of patients, if available, to replace</w:t>
      </w:r>
      <w:r>
        <w:t xml:space="preserve"> </w:t>
      </w:r>
      <w:r w:rsidRPr="006D4953">
        <w:t>bone scintigraphy. This outcome is in line with published results on SPECT-CT,</w:t>
      </w:r>
      <w:r w:rsidRPr="006D4953">
        <w:rPr>
          <w:position w:val="6"/>
          <w:sz w:val="9"/>
        </w:rPr>
        <w:t xml:space="preserve">40 </w:t>
      </w:r>
      <w:r w:rsidRPr="006D4953">
        <w:t>which suggest that the sensitivity of NaF PET-CT and SPECT-CT were not statistically superior to bone scintigraphy. Consensus was not reached on routine use of WB-MRI at staging, with just over half of panellists recommending it in a minority of patients selected on the basis of risk and symptoms, while a third do not recommend it. Low availability and scarce expertise in this technique, as well as the absence of strong validation data, probably explain why no consensus was reached on this point.</w:t>
      </w:r>
    </w:p>
    <w:p w14:paraId="2696C6D6" w14:textId="77777777" w:rsidR="006D4953" w:rsidRPr="006D4953" w:rsidRDefault="006D4953" w:rsidP="00C94E0E">
      <w:pPr>
        <w:pStyle w:val="FliesstextSpalten"/>
      </w:pPr>
      <w:r w:rsidRPr="006D4953">
        <w:t>Prostate cancer-targeted PET was considered necessary in a minority of patients based on risk and symptoms, and the panellists preferred prostate-specific mem- brane  antigen  (PSMA)-targeted  PET/CT  imaging  (19 of 21 panellists), which is in concordance with consensus statements from Advanced Prostate Cancer Consensus Conference 2017.</w:t>
      </w:r>
      <w:r w:rsidRPr="006D4953">
        <w:rPr>
          <w:position w:val="6"/>
          <w:sz w:val="9"/>
        </w:rPr>
        <w:t xml:space="preserve">11 </w:t>
      </w:r>
      <w:r w:rsidRPr="006D4953">
        <w:t xml:space="preserve">This preference of the panellists for PSMA PET over the other PET imaging agents is mirrored by the attention paid to PSMA PET in the literature: 286 </w:t>
      </w:r>
      <w:r w:rsidRPr="006D4953">
        <w:t>papers on PSMA PET were published in 2017, 80 papers on choline PET, and 19 on fluciclovine PET (based on the literature search, up to May 31, 2017, conducted in preparation of the study questionnaire; appendix).</w:t>
      </w:r>
    </w:p>
    <w:p w14:paraId="76FAF371" w14:textId="284672BE" w:rsidR="006D4953" w:rsidRPr="00C94E0E" w:rsidRDefault="006D4953" w:rsidP="00C94E0E">
      <w:pPr>
        <w:pStyle w:val="FliesstextSpalten"/>
      </w:pPr>
      <w:r w:rsidRPr="006D4953">
        <w:t>For comparative purposes, the EAU-ESTRO-SIOG</w:t>
      </w:r>
      <w:r w:rsidR="00C94E0E">
        <w:t xml:space="preserve"> </w:t>
      </w:r>
      <w:r w:rsidRPr="006D4953">
        <w:t>prostate cancer guidelines</w:t>
      </w:r>
      <w:r w:rsidRPr="006D4953">
        <w:rPr>
          <w:position w:val="6"/>
          <w:sz w:val="9"/>
        </w:rPr>
        <w:t xml:space="preserve">13,14 </w:t>
      </w:r>
      <w:r w:rsidRPr="006D4953">
        <w:t>recommend including at least cross-sectional abdominopelvic imaging and a bone scan for metastatic screening or multiparametric MRI for local staging of intermediate-risk prostate cancer with predominantly Gleason pattern 4 (International Society of Urological Pathology grade ≥3) and for high-risk or locally-advanced prostate cancer to include at least cross- sectional abdominopelvic imaging and a bone  scan for metastatic screening as well as multiparametric MRI for local staging.</w:t>
      </w:r>
      <w:r w:rsidRPr="006D4953">
        <w:rPr>
          <w:position w:val="6"/>
          <w:sz w:val="9"/>
        </w:rPr>
        <w:t>13,14</w:t>
      </w:r>
    </w:p>
    <w:p w14:paraId="145A37C1" w14:textId="77777777" w:rsidR="006D4953" w:rsidRPr="006D4953" w:rsidRDefault="006D4953" w:rsidP="00C94E0E">
      <w:pPr>
        <w:pStyle w:val="FliesstextSpalten"/>
        <w:rPr>
          <w:sz w:val="17"/>
        </w:rPr>
      </w:pPr>
    </w:p>
    <w:p w14:paraId="6419B650" w14:textId="77777777" w:rsidR="006D4953" w:rsidRPr="006D4953" w:rsidRDefault="006D4953" w:rsidP="00C94E0E">
      <w:pPr>
        <w:pStyle w:val="FliesstextSpalten"/>
        <w:ind w:firstLine="0"/>
        <w:rPr>
          <w:rFonts w:ascii="Arial" w:eastAsia="Arial" w:hAnsi="Arial" w:cs="Arial"/>
          <w:b/>
          <w:bCs/>
          <w:sz w:val="19"/>
          <w:szCs w:val="19"/>
        </w:rPr>
      </w:pPr>
      <w:r w:rsidRPr="006D4953">
        <w:rPr>
          <w:rFonts w:ascii="Arial" w:eastAsia="Arial" w:hAnsi="Arial" w:cs="Arial"/>
          <w:b/>
          <w:bCs/>
          <w:sz w:val="19"/>
          <w:szCs w:val="19"/>
        </w:rPr>
        <w:t>Imaging at biochemical recurrence</w:t>
      </w:r>
    </w:p>
    <w:p w14:paraId="4973F4AD" w14:textId="77777777" w:rsidR="006D4953" w:rsidRPr="006D4953" w:rsidRDefault="006D4953" w:rsidP="00C94E0E">
      <w:pPr>
        <w:pStyle w:val="FliesstextSpalten"/>
        <w:ind w:firstLine="0"/>
      </w:pPr>
      <w:r w:rsidRPr="006D4953">
        <w:t>For patients who should be studied with imaging methods at biochemical recurrence, the questionnaire distinguished between castration-naive prostate cancer (referring to biochemical recurrence following initial curative therapies and short durations of adjuvant androgen-deprivation therapy) and castration-resistant prostate cancer (referring to relapse following primary androgen-deprivation therapy for locally advanced disease); however, in both groups the consensus was that all patients with biochemical recurrence should be studied with imaging.</w:t>
      </w:r>
    </w:p>
    <w:p w14:paraId="61E2AA19" w14:textId="166ED7E7" w:rsidR="00DF6988" w:rsidRPr="00DF6988" w:rsidRDefault="006D4953" w:rsidP="00C94E0E">
      <w:pPr>
        <w:pStyle w:val="FliesstextSpalten"/>
      </w:pPr>
      <w:r w:rsidRPr="006D4953">
        <w:t>Furthermore, for both castration-naive and castration- resistant prostate cancer the panellists felt that PSA values, kinetics, and previous and ongoing therapy should all be considered for deciding whether to refer patients with biochemical recurrence to imaging. The panellists suggested a PSA concentration of less than 0·5 ng/mL at early relapse for patients with castration- naive prostate cancer presenting with biochemical</w:t>
      </w:r>
      <w:r>
        <w:t xml:space="preserve"> </w:t>
      </w:r>
      <w:r w:rsidR="00DF6988" w:rsidRPr="00DF6988">
        <w:t>recurrence after radical prostatectomy as a cutoff for starting imaging, because they thought the EAU-ESTRO- SIOG guidelines,</w:t>
      </w:r>
      <w:r w:rsidR="00DF6988" w:rsidRPr="00DF6988">
        <w:rPr>
          <w:position w:val="6"/>
          <w:sz w:val="9"/>
        </w:rPr>
        <w:t xml:space="preserve">13,14 </w:t>
      </w:r>
      <w:r w:rsidR="00DF6988" w:rsidRPr="00DF6988">
        <w:t>which set the PSA concentration at 1 ng/mL, are too restrictive. No consensus was reached for a PSA cutoff concentration in patients with castration- resistant prostate cancer at biochemical recurrence, but just over half of panellists (11 of 21 in round 3) were in favour of not using a cutoff.</w:t>
      </w:r>
    </w:p>
    <w:p w14:paraId="63BFB804" w14:textId="38814249" w:rsidR="00D751C9" w:rsidRPr="00E8013F" w:rsidRDefault="00DF6988" w:rsidP="00E8013F">
      <w:pPr>
        <w:pStyle w:val="FliesstextSpalten"/>
        <w:sectPr w:rsidR="00D751C9" w:rsidRPr="00E8013F" w:rsidSect="00245612">
          <w:type w:val="continuous"/>
          <w:pgSz w:w="11910" w:h="16840"/>
          <w:pgMar w:top="2835" w:right="1701" w:bottom="816" w:left="1418" w:header="720" w:footer="11" w:gutter="0"/>
          <w:cols w:num="2" w:space="291"/>
        </w:sectPr>
      </w:pPr>
      <w:r w:rsidRPr="00DF6988">
        <w:t xml:space="preserve">If other methods are not available, bone scintigraphy was considered useful at biochemical recurrence in a minority of patients; conversely </w:t>
      </w:r>
      <w:r w:rsidR="00E8013F">
        <w:br/>
      </w:r>
      <w:r w:rsidRPr="00DF6988">
        <w:t xml:space="preserve">no consensus was reached on the usefulness of CT as the panellists remained fairly evenly distributed </w:t>
      </w:r>
      <w:r w:rsidR="00E8013F">
        <w:br/>
      </w:r>
      <w:r w:rsidRPr="00DF6988">
        <w:t xml:space="preserve">in </w:t>
      </w:r>
      <w:r w:rsidR="00E8013F">
        <w:t xml:space="preserve"> </w:t>
      </w:r>
      <w:r w:rsidRPr="00DF6988">
        <w:t>round</w:t>
      </w:r>
      <w:r w:rsidR="00E8013F">
        <w:t xml:space="preserve"> </w:t>
      </w:r>
      <w:r w:rsidRPr="00DF6988">
        <w:t xml:space="preserve"> 3 in their responses:</w:t>
      </w:r>
      <w:r w:rsidR="00E8013F">
        <w:t xml:space="preserve"> </w:t>
      </w:r>
      <w:r w:rsidRPr="00DF6988">
        <w:t xml:space="preserve"> seven of 20 panellists </w:t>
      </w:r>
    </w:p>
    <w:tbl>
      <w:tblPr>
        <w:tblStyle w:val="TableNormal1"/>
        <w:tblW w:w="8789" w:type="dxa"/>
        <w:tblInd w:w="-3" w:type="dxa"/>
        <w:tblLayout w:type="fixed"/>
        <w:tblLook w:val="01E0" w:firstRow="1" w:lastRow="1" w:firstColumn="1" w:lastColumn="1" w:noHBand="0" w:noVBand="0"/>
      </w:tblPr>
      <w:tblGrid>
        <w:gridCol w:w="116"/>
        <w:gridCol w:w="3283"/>
        <w:gridCol w:w="3312"/>
        <w:gridCol w:w="1956"/>
        <w:gridCol w:w="122"/>
      </w:tblGrid>
      <w:tr w:rsidR="00D751C9" w:rsidRPr="00D751C9" w14:paraId="7254418C" w14:textId="77777777" w:rsidTr="00D751C9">
        <w:trPr>
          <w:trHeight w:val="325"/>
        </w:trPr>
        <w:tc>
          <w:tcPr>
            <w:tcW w:w="116" w:type="dxa"/>
            <w:vMerge w:val="restart"/>
            <w:tcBorders>
              <w:top w:val="single" w:sz="2" w:space="0" w:color="006F3C"/>
              <w:left w:val="single" w:sz="2" w:space="0" w:color="006F3C"/>
            </w:tcBorders>
            <w:shd w:val="clear" w:color="auto" w:fill="F4D9DE"/>
          </w:tcPr>
          <w:p w14:paraId="287D5554" w14:textId="1A12F14C" w:rsidR="00D751C9" w:rsidRPr="00D751C9" w:rsidRDefault="00D751C9" w:rsidP="00D751C9">
            <w:pPr>
              <w:rPr>
                <w:rFonts w:ascii="Times New Roman" w:eastAsia="Arial" w:hAnsi="Arial" w:cs="Arial"/>
                <w:sz w:val="14"/>
                <w:lang w:val="en-GB" w:eastAsia="en-GB" w:bidi="en-GB"/>
              </w:rPr>
            </w:pPr>
          </w:p>
        </w:tc>
        <w:tc>
          <w:tcPr>
            <w:tcW w:w="3283" w:type="dxa"/>
            <w:tcBorders>
              <w:top w:val="single" w:sz="2" w:space="0" w:color="006F3C"/>
              <w:bottom w:val="single" w:sz="2" w:space="0" w:color="000000"/>
            </w:tcBorders>
            <w:shd w:val="clear" w:color="auto" w:fill="F4D9DE"/>
          </w:tcPr>
          <w:p w14:paraId="6B3F3002" w14:textId="77777777" w:rsidR="00D751C9" w:rsidRPr="00D751C9" w:rsidRDefault="00D751C9" w:rsidP="00D751C9">
            <w:pPr>
              <w:rPr>
                <w:rFonts w:ascii="Times New Roman" w:eastAsia="Arial" w:hAnsi="Arial" w:cs="Arial"/>
                <w:sz w:val="14"/>
                <w:lang w:val="en-GB" w:eastAsia="en-GB" w:bidi="en-GB"/>
              </w:rPr>
            </w:pPr>
          </w:p>
        </w:tc>
        <w:tc>
          <w:tcPr>
            <w:tcW w:w="3312" w:type="dxa"/>
            <w:tcBorders>
              <w:top w:val="single" w:sz="2" w:space="0" w:color="006F3C"/>
              <w:bottom w:val="single" w:sz="2" w:space="0" w:color="000000"/>
            </w:tcBorders>
            <w:shd w:val="clear" w:color="auto" w:fill="F4D9DE"/>
          </w:tcPr>
          <w:p w14:paraId="7221BB47" w14:textId="063144ED" w:rsidR="00D751C9" w:rsidRPr="00D751C9" w:rsidRDefault="00F60DD4" w:rsidP="00D751C9">
            <w:pPr>
              <w:spacing w:before="105"/>
              <w:ind w:left="59"/>
              <w:rPr>
                <w:rFonts w:ascii="Arial" w:eastAsia="Arial" w:hAnsi="Arial" w:cs="Arial"/>
                <w:b/>
                <w:sz w:val="14"/>
                <w:lang w:val="en-GB" w:eastAsia="en-GB" w:bidi="en-GB"/>
              </w:rPr>
            </w:pPr>
            <w:r>
              <w:rPr>
                <w:rFonts w:ascii="Arial" w:eastAsia="Arial" w:hAnsi="Arial" w:cs="Arial"/>
                <w:b/>
                <w:w w:val="90"/>
                <w:sz w:val="14"/>
                <w:lang w:val="en-GB" w:eastAsia="en-GB" w:bidi="en-GB"/>
              </w:rPr>
              <w:t xml:space="preserve">  </w:t>
            </w:r>
            <w:r w:rsidR="00D751C9" w:rsidRPr="00D751C9">
              <w:rPr>
                <w:rFonts w:ascii="Arial" w:eastAsia="Arial" w:hAnsi="Arial" w:cs="Arial"/>
                <w:b/>
                <w:w w:val="90"/>
                <w:sz w:val="14"/>
                <w:lang w:val="en-GB" w:eastAsia="en-GB" w:bidi="en-GB"/>
              </w:rPr>
              <w:t>Response</w:t>
            </w:r>
          </w:p>
        </w:tc>
        <w:tc>
          <w:tcPr>
            <w:tcW w:w="1956" w:type="dxa"/>
            <w:tcBorders>
              <w:top w:val="single" w:sz="2" w:space="0" w:color="006F3C"/>
              <w:bottom w:val="single" w:sz="2" w:space="0" w:color="000000"/>
              <w:right w:val="single" w:sz="2" w:space="0" w:color="006F3C"/>
            </w:tcBorders>
            <w:shd w:val="clear" w:color="auto" w:fill="F4D9DE"/>
          </w:tcPr>
          <w:p w14:paraId="131A8B0E" w14:textId="2B2DEE0C" w:rsidR="00D751C9" w:rsidRPr="00D751C9" w:rsidRDefault="00F60DD4" w:rsidP="00D751C9">
            <w:pPr>
              <w:spacing w:before="105"/>
              <w:ind w:left="63"/>
              <w:rPr>
                <w:rFonts w:ascii="Arial" w:eastAsia="Arial" w:hAnsi="Arial" w:cs="Arial"/>
                <w:b/>
                <w:sz w:val="14"/>
                <w:lang w:val="en-GB" w:eastAsia="en-GB" w:bidi="en-GB"/>
              </w:rPr>
            </w:pPr>
            <w:r>
              <w:rPr>
                <w:rFonts w:ascii="Arial" w:eastAsia="Arial" w:hAnsi="Arial" w:cs="Arial"/>
                <w:b/>
                <w:w w:val="90"/>
                <w:sz w:val="14"/>
                <w:lang w:val="en-GB" w:eastAsia="en-GB" w:bidi="en-GB"/>
              </w:rPr>
              <w:t xml:space="preserve"> </w:t>
            </w:r>
            <w:r w:rsidR="00D751C9" w:rsidRPr="00D751C9">
              <w:rPr>
                <w:rFonts w:ascii="Arial" w:eastAsia="Arial" w:hAnsi="Arial" w:cs="Arial"/>
                <w:b/>
                <w:w w:val="90"/>
                <w:sz w:val="14"/>
                <w:lang w:val="en-GB" w:eastAsia="en-GB" w:bidi="en-GB"/>
              </w:rPr>
              <w:t>Consensus</w:t>
            </w:r>
          </w:p>
        </w:tc>
        <w:tc>
          <w:tcPr>
            <w:tcW w:w="122" w:type="dxa"/>
            <w:tcBorders>
              <w:top w:val="single" w:sz="2" w:space="0" w:color="006F3C"/>
              <w:left w:val="single" w:sz="2" w:space="0" w:color="006F3C"/>
            </w:tcBorders>
            <w:shd w:val="clear" w:color="auto" w:fill="F4D9DE"/>
          </w:tcPr>
          <w:p w14:paraId="7C556017" w14:textId="77777777" w:rsidR="00D751C9" w:rsidRPr="00D751C9" w:rsidRDefault="00D751C9" w:rsidP="00D751C9">
            <w:pPr>
              <w:rPr>
                <w:rFonts w:ascii="Times New Roman" w:eastAsia="Arial" w:hAnsi="Arial" w:cs="Arial"/>
                <w:sz w:val="14"/>
                <w:lang w:val="en-GB" w:eastAsia="en-GB" w:bidi="en-GB"/>
              </w:rPr>
            </w:pPr>
          </w:p>
        </w:tc>
      </w:tr>
      <w:tr w:rsidR="00D751C9" w:rsidRPr="00D751C9" w14:paraId="71359072" w14:textId="77777777" w:rsidTr="00F60DD4">
        <w:trPr>
          <w:trHeight w:val="211"/>
        </w:trPr>
        <w:tc>
          <w:tcPr>
            <w:tcW w:w="116" w:type="dxa"/>
            <w:vMerge/>
            <w:tcBorders>
              <w:top w:val="nil"/>
              <w:left w:val="single" w:sz="2" w:space="0" w:color="006F3C"/>
            </w:tcBorders>
            <w:shd w:val="clear" w:color="auto" w:fill="F4D9DE"/>
          </w:tcPr>
          <w:p w14:paraId="256386FB" w14:textId="77777777" w:rsidR="00D751C9" w:rsidRPr="00D751C9" w:rsidRDefault="00D751C9" w:rsidP="00D751C9">
            <w:pPr>
              <w:rPr>
                <w:rFonts w:ascii="Georgia" w:eastAsia="Georgia" w:hAnsi="Georgia" w:cs="Georgia"/>
                <w:sz w:val="2"/>
                <w:szCs w:val="2"/>
                <w:lang w:val="en-GB" w:eastAsia="en-GB" w:bidi="en-GB"/>
              </w:rPr>
            </w:pPr>
          </w:p>
        </w:tc>
        <w:tc>
          <w:tcPr>
            <w:tcW w:w="3283" w:type="dxa"/>
            <w:tcBorders>
              <w:top w:val="single" w:sz="2" w:space="0" w:color="000000"/>
            </w:tcBorders>
            <w:shd w:val="clear" w:color="auto" w:fill="F4D9DE"/>
            <w:tcMar>
              <w:top w:w="57" w:type="dxa"/>
              <w:left w:w="57" w:type="dxa"/>
              <w:bottom w:w="57" w:type="dxa"/>
              <w:right w:w="57" w:type="dxa"/>
            </w:tcMar>
          </w:tcPr>
          <w:p w14:paraId="763E0D0B" w14:textId="2176CAC8" w:rsidR="00D751C9" w:rsidRPr="00D751C9" w:rsidRDefault="00D751C9" w:rsidP="00D751C9">
            <w:pPr>
              <w:spacing w:before="4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patients should be studied with imaging methods at presentation?</w:t>
            </w:r>
          </w:p>
        </w:tc>
        <w:tc>
          <w:tcPr>
            <w:tcW w:w="3312" w:type="dxa"/>
            <w:tcBorders>
              <w:top w:val="single" w:sz="2" w:space="0" w:color="000000"/>
            </w:tcBorders>
            <w:shd w:val="clear" w:color="auto" w:fill="F4D9DE"/>
            <w:tcMar>
              <w:top w:w="57" w:type="dxa"/>
              <w:left w:w="57" w:type="dxa"/>
              <w:bottom w:w="57" w:type="dxa"/>
              <w:right w:w="57" w:type="dxa"/>
            </w:tcMar>
          </w:tcPr>
          <w:p w14:paraId="4587523C" w14:textId="67B84E7F" w:rsidR="00D751C9" w:rsidRPr="00D751C9" w:rsidRDefault="00D751C9" w:rsidP="00D751C9">
            <w:pPr>
              <w:spacing w:before="4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Only intermediate and high-risk patients should be studied with imaging methods at presentation</w:t>
            </w:r>
          </w:p>
        </w:tc>
        <w:tc>
          <w:tcPr>
            <w:tcW w:w="1956" w:type="dxa"/>
            <w:tcBorders>
              <w:top w:val="single" w:sz="2" w:space="0" w:color="000000"/>
              <w:right w:val="single" w:sz="2" w:space="0" w:color="006F3C"/>
            </w:tcBorders>
            <w:shd w:val="clear" w:color="auto" w:fill="F4D9DE"/>
            <w:tcMar>
              <w:top w:w="57" w:type="dxa"/>
              <w:left w:w="57" w:type="dxa"/>
              <w:bottom w:w="57" w:type="dxa"/>
              <w:right w:w="57" w:type="dxa"/>
            </w:tcMar>
          </w:tcPr>
          <w:p w14:paraId="736AAFB8" w14:textId="7CBCC01A" w:rsidR="00D751C9" w:rsidRPr="00D751C9" w:rsidRDefault="00D751C9" w:rsidP="00D751C9">
            <w:pPr>
              <w:spacing w:before="4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14 (61%) of 23; </w:t>
            </w:r>
            <w:r>
              <w:rPr>
                <w:rFonts w:ascii="Arial Narrow" w:eastAsia="Arial" w:hAnsi="Arial Narrow" w:cs="Arial"/>
                <w:sz w:val="14"/>
                <w:lang w:val="en-GB" w:eastAsia="en-GB" w:bidi="en-GB"/>
              </w:rPr>
              <w:br/>
              <w:t>R</w:t>
            </w:r>
            <w:r w:rsidRPr="00D751C9">
              <w:rPr>
                <w:rFonts w:ascii="Arial Narrow" w:eastAsia="Arial" w:hAnsi="Arial Narrow" w:cs="Arial"/>
                <w:sz w:val="14"/>
                <w:lang w:val="en-GB" w:eastAsia="en-GB" w:bidi="en-GB"/>
              </w:rPr>
              <w:t>ound 2: 18 (82%) of 22</w:t>
            </w:r>
          </w:p>
        </w:tc>
        <w:tc>
          <w:tcPr>
            <w:tcW w:w="122" w:type="dxa"/>
            <w:tcBorders>
              <w:left w:val="single" w:sz="2" w:space="0" w:color="006F3C"/>
            </w:tcBorders>
            <w:shd w:val="clear" w:color="auto" w:fill="F4D9DE"/>
          </w:tcPr>
          <w:p w14:paraId="5EE42392" w14:textId="77777777" w:rsidR="00D751C9" w:rsidRPr="00D751C9" w:rsidRDefault="00D751C9" w:rsidP="00D751C9">
            <w:pPr>
              <w:rPr>
                <w:rFonts w:ascii="Times New Roman" w:eastAsia="Arial" w:hAnsi="Arial" w:cs="Arial"/>
                <w:sz w:val="14"/>
                <w:lang w:val="en-GB" w:eastAsia="en-GB" w:bidi="en-GB"/>
              </w:rPr>
            </w:pPr>
          </w:p>
        </w:tc>
      </w:tr>
      <w:tr w:rsidR="00D751C9" w:rsidRPr="00D751C9" w14:paraId="1E4CA662" w14:textId="77777777" w:rsidTr="00F60DD4">
        <w:trPr>
          <w:trHeight w:val="190"/>
        </w:trPr>
        <w:tc>
          <w:tcPr>
            <w:tcW w:w="116" w:type="dxa"/>
            <w:vMerge/>
            <w:tcBorders>
              <w:top w:val="nil"/>
              <w:left w:val="single" w:sz="2" w:space="0" w:color="006F3C"/>
            </w:tcBorders>
            <w:shd w:val="clear" w:color="auto" w:fill="F4D9DE"/>
          </w:tcPr>
          <w:p w14:paraId="3B057C31"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5C7A48F4" w14:textId="77777777"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consider bone scintigraphy necessary at staging?</w:t>
            </w:r>
          </w:p>
        </w:tc>
        <w:tc>
          <w:tcPr>
            <w:tcW w:w="3312" w:type="dxa"/>
            <w:shd w:val="clear" w:color="auto" w:fill="FFFFFF"/>
            <w:tcMar>
              <w:top w:w="57" w:type="dxa"/>
              <w:left w:w="57" w:type="dxa"/>
              <w:bottom w:w="57" w:type="dxa"/>
              <w:right w:w="57" w:type="dxa"/>
            </w:tcMar>
          </w:tcPr>
          <w:p w14:paraId="5A4D9AB8" w14:textId="7021C37D"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Bone scintigraphy is necessary in a minority of selected</w:t>
            </w:r>
            <w:r w:rsidR="003E6188">
              <w:rPr>
                <w:rFonts w:ascii="Arial Narrow" w:eastAsia="Arial" w:hAnsi="Arial Narrow" w:cs="Arial"/>
                <w:sz w:val="14"/>
                <w:lang w:val="en-GB" w:eastAsia="en-GB" w:bidi="en-GB"/>
              </w:rPr>
              <w:t xml:space="preserve"> </w:t>
            </w:r>
            <w:r w:rsidR="003E6188" w:rsidRPr="00D751C9">
              <w:rPr>
                <w:rFonts w:ascii="Arial Narrow" w:eastAsia="Arial" w:hAnsi="Arial Narrow" w:cs="Arial"/>
                <w:sz w:val="14"/>
                <w:lang w:val="en-GB" w:eastAsia="en-GB" w:bidi="en-GB"/>
              </w:rPr>
              <w:t>patients at staging (based on risk and symptoms)</w:t>
            </w:r>
          </w:p>
        </w:tc>
        <w:tc>
          <w:tcPr>
            <w:tcW w:w="1956" w:type="dxa"/>
            <w:tcBorders>
              <w:right w:val="single" w:sz="2" w:space="0" w:color="006F3C"/>
            </w:tcBorders>
            <w:shd w:val="clear" w:color="auto" w:fill="FFFFFF"/>
            <w:tcMar>
              <w:top w:w="57" w:type="dxa"/>
              <w:left w:w="57" w:type="dxa"/>
              <w:bottom w:w="57" w:type="dxa"/>
              <w:right w:w="57" w:type="dxa"/>
            </w:tcMar>
          </w:tcPr>
          <w:p w14:paraId="6E357C21" w14:textId="2B139AAF"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14 (61%) of 23; </w:t>
            </w:r>
            <w:r w:rsidR="003E6188">
              <w:rPr>
                <w:rFonts w:ascii="Arial Narrow" w:eastAsia="Arial" w:hAnsi="Arial Narrow" w:cs="Arial"/>
                <w:sz w:val="14"/>
                <w:lang w:val="en-GB" w:eastAsia="en-GB" w:bidi="en-GB"/>
              </w:rPr>
              <w:br/>
              <w:t>R</w:t>
            </w:r>
            <w:r w:rsidRPr="00D751C9">
              <w:rPr>
                <w:rFonts w:ascii="Arial Narrow" w:eastAsia="Arial" w:hAnsi="Arial Narrow" w:cs="Arial"/>
                <w:sz w:val="14"/>
                <w:lang w:val="en-GB" w:eastAsia="en-GB" w:bidi="en-GB"/>
              </w:rPr>
              <w:t>ound 2:</w:t>
            </w:r>
            <w:r w:rsidR="003E6188">
              <w:rPr>
                <w:rFonts w:ascii="Arial Narrow" w:eastAsia="Arial" w:hAnsi="Arial Narrow" w:cs="Arial"/>
                <w:sz w:val="14"/>
                <w:lang w:val="en-GB" w:eastAsia="en-GB" w:bidi="en-GB"/>
              </w:rPr>
              <w:t xml:space="preserve"> </w:t>
            </w:r>
            <w:r w:rsidR="003E6188" w:rsidRPr="00D751C9">
              <w:rPr>
                <w:rFonts w:ascii="Arial Narrow" w:eastAsia="Arial" w:hAnsi="Arial Narrow" w:cs="Arial"/>
                <w:sz w:val="14"/>
                <w:lang w:val="en-GB" w:eastAsia="en-GB" w:bidi="en-GB"/>
              </w:rPr>
              <w:t>19 (86%) of 22</w:t>
            </w:r>
          </w:p>
        </w:tc>
        <w:tc>
          <w:tcPr>
            <w:tcW w:w="122" w:type="dxa"/>
            <w:tcBorders>
              <w:left w:val="single" w:sz="2" w:space="0" w:color="006F3C"/>
            </w:tcBorders>
            <w:shd w:val="clear" w:color="auto" w:fill="F4D9DE"/>
          </w:tcPr>
          <w:p w14:paraId="14E7DE6D"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AE1C727" w14:textId="77777777" w:rsidTr="00F60DD4">
        <w:trPr>
          <w:trHeight w:val="190"/>
        </w:trPr>
        <w:tc>
          <w:tcPr>
            <w:tcW w:w="116" w:type="dxa"/>
            <w:vMerge/>
            <w:tcBorders>
              <w:top w:val="nil"/>
              <w:left w:val="single" w:sz="2" w:space="0" w:color="006F3C"/>
            </w:tcBorders>
            <w:shd w:val="clear" w:color="auto" w:fill="F4D9DE"/>
          </w:tcPr>
          <w:p w14:paraId="1847E342"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18E609BC" w14:textId="77777777"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consider CT necessary at staging?</w:t>
            </w:r>
          </w:p>
        </w:tc>
        <w:tc>
          <w:tcPr>
            <w:tcW w:w="3312" w:type="dxa"/>
            <w:shd w:val="clear" w:color="auto" w:fill="F4D9DE"/>
            <w:tcMar>
              <w:top w:w="57" w:type="dxa"/>
              <w:left w:w="57" w:type="dxa"/>
              <w:bottom w:w="57" w:type="dxa"/>
              <w:right w:w="57" w:type="dxa"/>
            </w:tcMar>
          </w:tcPr>
          <w:p w14:paraId="4C1031F6" w14:textId="37BB91AC"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CT is necessary in a minority of selected patients at staging</w:t>
            </w:r>
            <w:r w:rsidR="003E6188">
              <w:rPr>
                <w:rFonts w:ascii="Arial Narrow" w:eastAsia="Arial" w:hAnsi="Arial Narrow" w:cs="Arial"/>
                <w:sz w:val="14"/>
                <w:lang w:val="en-GB" w:eastAsia="en-GB" w:bidi="en-GB"/>
              </w:rPr>
              <w:t xml:space="preserve"> </w:t>
            </w:r>
            <w:r w:rsidR="003E6188" w:rsidRPr="00D751C9">
              <w:rPr>
                <w:rFonts w:ascii="Arial Narrow" w:eastAsia="Arial" w:hAnsi="Arial Narrow" w:cs="Arial"/>
                <w:sz w:val="14"/>
                <w:lang w:val="en-GB" w:eastAsia="en-GB" w:bidi="en-GB"/>
              </w:rPr>
              <w:t>(based on risk and symptoms)</w:t>
            </w:r>
          </w:p>
        </w:tc>
        <w:tc>
          <w:tcPr>
            <w:tcW w:w="1956" w:type="dxa"/>
            <w:tcBorders>
              <w:right w:val="single" w:sz="2" w:space="0" w:color="006F3C"/>
            </w:tcBorders>
            <w:shd w:val="clear" w:color="auto" w:fill="F4D9DE"/>
            <w:tcMar>
              <w:top w:w="57" w:type="dxa"/>
              <w:left w:w="57" w:type="dxa"/>
              <w:bottom w:w="57" w:type="dxa"/>
              <w:right w:w="57" w:type="dxa"/>
            </w:tcMar>
          </w:tcPr>
          <w:p w14:paraId="24597AD8" w14:textId="679E8A01"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9 (39%) of 23; </w:t>
            </w:r>
            <w:r w:rsidR="003E6188">
              <w:rPr>
                <w:rFonts w:ascii="Arial Narrow" w:eastAsia="Arial" w:hAnsi="Arial Narrow" w:cs="Arial"/>
                <w:sz w:val="14"/>
                <w:lang w:val="en-GB" w:eastAsia="en-GB" w:bidi="en-GB"/>
              </w:rPr>
              <w:br/>
              <w:t>R</w:t>
            </w:r>
            <w:r w:rsidRPr="00D751C9">
              <w:rPr>
                <w:rFonts w:ascii="Arial Narrow" w:eastAsia="Arial" w:hAnsi="Arial Narrow" w:cs="Arial"/>
                <w:sz w:val="14"/>
                <w:lang w:val="en-GB" w:eastAsia="en-GB" w:bidi="en-GB"/>
              </w:rPr>
              <w:t>ound 2:</w:t>
            </w:r>
            <w:r w:rsidR="003E6188">
              <w:rPr>
                <w:rFonts w:ascii="Arial Narrow" w:eastAsia="Arial" w:hAnsi="Arial Narrow" w:cs="Arial"/>
                <w:sz w:val="14"/>
                <w:lang w:val="en-GB" w:eastAsia="en-GB" w:bidi="en-GB"/>
              </w:rPr>
              <w:t xml:space="preserve"> </w:t>
            </w:r>
            <w:r w:rsidR="003E6188" w:rsidRPr="00D751C9">
              <w:rPr>
                <w:rFonts w:ascii="Arial Narrow" w:eastAsia="Arial" w:hAnsi="Arial Narrow" w:cs="Arial"/>
                <w:sz w:val="14"/>
                <w:lang w:val="en-GB" w:eastAsia="en-GB" w:bidi="en-GB"/>
              </w:rPr>
              <w:t>12 (54%) of 22;</w:t>
            </w:r>
          </w:p>
        </w:tc>
        <w:tc>
          <w:tcPr>
            <w:tcW w:w="122" w:type="dxa"/>
            <w:tcBorders>
              <w:left w:val="single" w:sz="2" w:space="0" w:color="006F3C"/>
            </w:tcBorders>
            <w:shd w:val="clear" w:color="auto" w:fill="F4D9DE"/>
          </w:tcPr>
          <w:p w14:paraId="17CA6718"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DF46D07" w14:textId="77777777" w:rsidTr="00F60DD4">
        <w:trPr>
          <w:trHeight w:val="169"/>
        </w:trPr>
        <w:tc>
          <w:tcPr>
            <w:tcW w:w="116" w:type="dxa"/>
            <w:vMerge/>
            <w:tcBorders>
              <w:top w:val="nil"/>
              <w:left w:val="single" w:sz="2" w:space="0" w:color="006F3C"/>
            </w:tcBorders>
            <w:shd w:val="clear" w:color="auto" w:fill="F4D9DE"/>
          </w:tcPr>
          <w:p w14:paraId="52A20F4A"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2E3167D8" w14:textId="77777777" w:rsidR="00D751C9" w:rsidRPr="00D751C9" w:rsidRDefault="00D751C9" w:rsidP="00D751C9">
            <w:pPr>
              <w:rPr>
                <w:rFonts w:ascii="Arial Narrow" w:eastAsia="Arial" w:hAnsi="Arial Narrow" w:cs="Arial"/>
                <w:sz w:val="10"/>
                <w:lang w:val="en-GB" w:eastAsia="en-GB" w:bidi="en-GB"/>
              </w:rPr>
            </w:pPr>
          </w:p>
        </w:tc>
        <w:tc>
          <w:tcPr>
            <w:tcW w:w="3312" w:type="dxa"/>
            <w:shd w:val="clear" w:color="auto" w:fill="F4D9DE"/>
            <w:tcMar>
              <w:top w:w="57" w:type="dxa"/>
              <w:left w:w="57" w:type="dxa"/>
              <w:bottom w:w="57" w:type="dxa"/>
              <w:right w:w="57" w:type="dxa"/>
            </w:tcMar>
          </w:tcPr>
          <w:p w14:paraId="38699AC4" w14:textId="66397197" w:rsidR="00D751C9" w:rsidRPr="00D751C9" w:rsidRDefault="00D751C9" w:rsidP="00D751C9">
            <w:pPr>
              <w:spacing w:before="5" w:line="145" w:lineRule="exact"/>
              <w:ind w:left="59"/>
              <w:rPr>
                <w:rFonts w:ascii="Arial Narrow" w:eastAsia="Arial" w:hAnsi="Arial Narrow" w:cs="Arial"/>
                <w:sz w:val="14"/>
                <w:lang w:val="en-GB" w:eastAsia="en-GB" w:bidi="en-GB"/>
              </w:rPr>
            </w:pPr>
          </w:p>
        </w:tc>
        <w:tc>
          <w:tcPr>
            <w:tcW w:w="1956" w:type="dxa"/>
            <w:tcBorders>
              <w:right w:val="single" w:sz="2" w:space="0" w:color="006F3C"/>
            </w:tcBorders>
            <w:shd w:val="clear" w:color="auto" w:fill="F4D9DE"/>
            <w:tcMar>
              <w:top w:w="57" w:type="dxa"/>
              <w:left w:w="57" w:type="dxa"/>
              <w:bottom w:w="57" w:type="dxa"/>
              <w:right w:w="57" w:type="dxa"/>
            </w:tcMar>
          </w:tcPr>
          <w:p w14:paraId="46632E1D" w14:textId="547397B3" w:rsidR="00D751C9" w:rsidRPr="00D751C9" w:rsidRDefault="003E6188" w:rsidP="00D751C9">
            <w:pPr>
              <w:spacing w:before="5" w:line="145" w:lineRule="exact"/>
              <w:ind w:left="63"/>
              <w:rPr>
                <w:rFonts w:ascii="Arial Narrow" w:eastAsia="Arial" w:hAnsi="Arial Narrow" w:cs="Arial"/>
                <w:sz w:val="14"/>
                <w:lang w:val="en-GB" w:eastAsia="en-GB" w:bidi="en-GB"/>
              </w:rPr>
            </w:pPr>
            <w:r>
              <w:rPr>
                <w:rFonts w:ascii="Arial Narrow" w:eastAsia="Arial" w:hAnsi="Arial Narrow" w:cs="Arial"/>
                <w:sz w:val="14"/>
                <w:lang w:val="en-GB" w:eastAsia="en-GB" w:bidi="en-GB"/>
              </w:rPr>
              <w:t>R</w:t>
            </w:r>
            <w:r w:rsidR="00D751C9" w:rsidRPr="00D751C9">
              <w:rPr>
                <w:rFonts w:ascii="Arial Narrow" w:eastAsia="Arial" w:hAnsi="Arial Narrow" w:cs="Arial"/>
                <w:sz w:val="14"/>
                <w:lang w:val="en-GB" w:eastAsia="en-GB" w:bidi="en-GB"/>
              </w:rPr>
              <w:t>ound 3: 18 (90%)</w:t>
            </w:r>
            <w:r w:rsidRPr="00D751C9">
              <w:rPr>
                <w:rFonts w:ascii="Arial Narrow" w:eastAsia="Arial" w:hAnsi="Arial Narrow" w:cs="Arial"/>
                <w:sz w:val="14"/>
                <w:lang w:val="en-GB" w:eastAsia="en-GB" w:bidi="en-GB"/>
              </w:rPr>
              <w:t xml:space="preserve"> of 21</w:t>
            </w:r>
          </w:p>
        </w:tc>
        <w:tc>
          <w:tcPr>
            <w:tcW w:w="122" w:type="dxa"/>
            <w:tcBorders>
              <w:left w:val="single" w:sz="2" w:space="0" w:color="006F3C"/>
            </w:tcBorders>
            <w:shd w:val="clear" w:color="auto" w:fill="F4D9DE"/>
          </w:tcPr>
          <w:p w14:paraId="65ECF15D" w14:textId="77777777" w:rsidR="00D751C9" w:rsidRPr="00D751C9" w:rsidRDefault="00D751C9" w:rsidP="00D751C9">
            <w:pPr>
              <w:rPr>
                <w:rFonts w:ascii="Times New Roman" w:eastAsia="Arial" w:hAnsi="Arial" w:cs="Arial"/>
                <w:sz w:val="10"/>
                <w:lang w:val="en-GB" w:eastAsia="en-GB" w:bidi="en-GB"/>
              </w:rPr>
            </w:pPr>
          </w:p>
        </w:tc>
      </w:tr>
      <w:tr w:rsidR="00D751C9" w:rsidRPr="00D751C9" w14:paraId="6D3BC5FE" w14:textId="77777777" w:rsidTr="00F60DD4">
        <w:trPr>
          <w:trHeight w:val="190"/>
        </w:trPr>
        <w:tc>
          <w:tcPr>
            <w:tcW w:w="116" w:type="dxa"/>
            <w:vMerge/>
            <w:tcBorders>
              <w:top w:val="nil"/>
              <w:left w:val="single" w:sz="2" w:space="0" w:color="006F3C"/>
            </w:tcBorders>
            <w:shd w:val="clear" w:color="auto" w:fill="F4D9DE"/>
          </w:tcPr>
          <w:p w14:paraId="329B3A81"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08203637" w14:textId="77777777"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recommend routine fluoride PET at staging?</w:t>
            </w:r>
          </w:p>
        </w:tc>
        <w:tc>
          <w:tcPr>
            <w:tcW w:w="3312" w:type="dxa"/>
            <w:shd w:val="clear" w:color="auto" w:fill="FFFFFF"/>
            <w:tcMar>
              <w:top w:w="57" w:type="dxa"/>
              <w:left w:w="57" w:type="dxa"/>
              <w:bottom w:w="57" w:type="dxa"/>
              <w:right w:w="57" w:type="dxa"/>
            </w:tcMar>
          </w:tcPr>
          <w:p w14:paraId="56CC9D2B" w14:textId="77777777"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Routine fluoride PET is not recommended at staging</w:t>
            </w:r>
          </w:p>
        </w:tc>
        <w:tc>
          <w:tcPr>
            <w:tcW w:w="1956" w:type="dxa"/>
            <w:tcBorders>
              <w:right w:val="single" w:sz="2" w:space="0" w:color="006F3C"/>
            </w:tcBorders>
            <w:shd w:val="clear" w:color="auto" w:fill="FFFFFF"/>
            <w:tcMar>
              <w:top w:w="57" w:type="dxa"/>
              <w:left w:w="57" w:type="dxa"/>
              <w:bottom w:w="57" w:type="dxa"/>
              <w:right w:w="57" w:type="dxa"/>
            </w:tcMar>
          </w:tcPr>
          <w:p w14:paraId="02B65583" w14:textId="1A627198"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14 (61%) of 23; </w:t>
            </w:r>
            <w:r w:rsidR="003E6188">
              <w:rPr>
                <w:rFonts w:ascii="Arial Narrow" w:eastAsia="Arial" w:hAnsi="Arial Narrow" w:cs="Arial"/>
                <w:sz w:val="14"/>
                <w:lang w:val="en-GB" w:eastAsia="en-GB" w:bidi="en-GB"/>
              </w:rPr>
              <w:br/>
              <w:t>R</w:t>
            </w:r>
            <w:r w:rsidRPr="00D751C9">
              <w:rPr>
                <w:rFonts w:ascii="Arial Narrow" w:eastAsia="Arial" w:hAnsi="Arial Narrow" w:cs="Arial"/>
                <w:sz w:val="14"/>
                <w:lang w:val="en-GB" w:eastAsia="en-GB" w:bidi="en-GB"/>
              </w:rPr>
              <w:t>ound 2:</w:t>
            </w:r>
            <w:r w:rsidR="003E6188" w:rsidRPr="00D751C9">
              <w:rPr>
                <w:rFonts w:ascii="Arial Narrow" w:eastAsia="Arial" w:hAnsi="Arial Narrow" w:cs="Arial"/>
                <w:sz w:val="14"/>
                <w:lang w:val="en-GB" w:eastAsia="en-GB" w:bidi="en-GB"/>
              </w:rPr>
              <w:t xml:space="preserve"> 20 (87%) of 23</w:t>
            </w:r>
          </w:p>
        </w:tc>
        <w:tc>
          <w:tcPr>
            <w:tcW w:w="122" w:type="dxa"/>
            <w:tcBorders>
              <w:left w:val="single" w:sz="2" w:space="0" w:color="006F3C"/>
            </w:tcBorders>
            <w:shd w:val="clear" w:color="auto" w:fill="F4D9DE"/>
          </w:tcPr>
          <w:p w14:paraId="27FB42BB"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02252FB" w14:textId="77777777" w:rsidTr="00F60DD4">
        <w:trPr>
          <w:trHeight w:val="190"/>
        </w:trPr>
        <w:tc>
          <w:tcPr>
            <w:tcW w:w="116" w:type="dxa"/>
            <w:vMerge/>
            <w:tcBorders>
              <w:top w:val="nil"/>
              <w:left w:val="single" w:sz="2" w:space="0" w:color="006F3C"/>
            </w:tcBorders>
            <w:shd w:val="clear" w:color="auto" w:fill="F4D9DE"/>
          </w:tcPr>
          <w:p w14:paraId="5B2B8346"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2F57EEDF" w14:textId="43D6777C"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consider prostate cancer-targeted PET necessary at</w:t>
            </w:r>
            <w:r w:rsidR="00A37574">
              <w:rPr>
                <w:rFonts w:ascii="Arial Narrow" w:eastAsia="Arial" w:hAnsi="Arial Narrow" w:cs="Arial"/>
                <w:sz w:val="14"/>
                <w:lang w:val="en-GB" w:eastAsia="en-GB" w:bidi="en-GB"/>
              </w:rPr>
              <w:t xml:space="preserve"> </w:t>
            </w:r>
            <w:r w:rsidR="00A37574" w:rsidRPr="00D751C9">
              <w:rPr>
                <w:rFonts w:ascii="Arial Narrow" w:eastAsia="Arial" w:hAnsi="Arial Narrow" w:cs="Arial"/>
                <w:sz w:val="14"/>
                <w:lang w:val="en-GB" w:eastAsia="en-GB" w:bidi="en-GB"/>
              </w:rPr>
              <w:t>staging?</w:t>
            </w:r>
          </w:p>
        </w:tc>
        <w:tc>
          <w:tcPr>
            <w:tcW w:w="3312" w:type="dxa"/>
            <w:shd w:val="clear" w:color="auto" w:fill="F4D9DE"/>
            <w:tcMar>
              <w:top w:w="57" w:type="dxa"/>
              <w:left w:w="57" w:type="dxa"/>
              <w:bottom w:w="57" w:type="dxa"/>
              <w:right w:w="57" w:type="dxa"/>
            </w:tcMar>
          </w:tcPr>
          <w:p w14:paraId="5B739DB4" w14:textId="5E8EE906"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Prostate cancer-targeted PET is necessary in a minority of</w:t>
            </w:r>
            <w:r w:rsidR="00A37574">
              <w:rPr>
                <w:rFonts w:ascii="Arial Narrow" w:eastAsia="Arial" w:hAnsi="Arial Narrow" w:cs="Arial"/>
                <w:sz w:val="14"/>
                <w:lang w:val="en-GB" w:eastAsia="en-GB" w:bidi="en-GB"/>
              </w:rPr>
              <w:t xml:space="preserve"> </w:t>
            </w:r>
            <w:r w:rsidR="00A37574" w:rsidRPr="00D751C9">
              <w:rPr>
                <w:rFonts w:ascii="Arial Narrow" w:eastAsia="Arial" w:hAnsi="Arial Narrow" w:cs="Arial"/>
                <w:sz w:val="14"/>
                <w:lang w:val="en-GB" w:eastAsia="en-GB" w:bidi="en-GB"/>
              </w:rPr>
              <w:t>patients at staging (based on risk and symptoms)</w:t>
            </w:r>
          </w:p>
        </w:tc>
        <w:tc>
          <w:tcPr>
            <w:tcW w:w="1956" w:type="dxa"/>
            <w:tcBorders>
              <w:right w:val="single" w:sz="2" w:space="0" w:color="006F3C"/>
            </w:tcBorders>
            <w:shd w:val="clear" w:color="auto" w:fill="F4D9DE"/>
            <w:tcMar>
              <w:top w:w="57" w:type="dxa"/>
              <w:left w:w="57" w:type="dxa"/>
              <w:bottom w:w="57" w:type="dxa"/>
              <w:right w:w="57" w:type="dxa"/>
            </w:tcMar>
          </w:tcPr>
          <w:p w14:paraId="7D75E12C" w14:textId="43D1F080"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7 (30%) of 23; </w:t>
            </w:r>
            <w:r w:rsidR="00A37574">
              <w:rPr>
                <w:rFonts w:ascii="Arial Narrow" w:eastAsia="Arial" w:hAnsi="Arial Narrow" w:cs="Arial"/>
                <w:sz w:val="14"/>
                <w:lang w:val="en-GB" w:eastAsia="en-GB" w:bidi="en-GB"/>
              </w:rPr>
              <w:br/>
              <w:t>R</w:t>
            </w:r>
            <w:r w:rsidRPr="00D751C9">
              <w:rPr>
                <w:rFonts w:ascii="Arial Narrow" w:eastAsia="Arial" w:hAnsi="Arial Narrow" w:cs="Arial"/>
                <w:sz w:val="14"/>
                <w:lang w:val="en-GB" w:eastAsia="en-GB" w:bidi="en-GB"/>
              </w:rPr>
              <w:t>ound 2:</w:t>
            </w:r>
            <w:r w:rsidR="00A37574">
              <w:rPr>
                <w:rFonts w:ascii="Arial Narrow" w:eastAsia="Arial" w:hAnsi="Arial Narrow" w:cs="Arial"/>
                <w:sz w:val="14"/>
                <w:lang w:val="en-GB" w:eastAsia="en-GB" w:bidi="en-GB"/>
              </w:rPr>
              <w:t xml:space="preserve"> </w:t>
            </w:r>
            <w:r w:rsidR="00A37574" w:rsidRPr="00D751C9">
              <w:rPr>
                <w:rFonts w:ascii="Arial Narrow" w:eastAsia="Arial" w:hAnsi="Arial Narrow" w:cs="Arial"/>
                <w:sz w:val="14"/>
                <w:lang w:val="en-GB" w:eastAsia="en-GB" w:bidi="en-GB"/>
              </w:rPr>
              <w:t>13 (59%) of 22</w:t>
            </w:r>
            <w:r w:rsidR="00A37574">
              <w:rPr>
                <w:rFonts w:ascii="Arial Narrow" w:eastAsia="Arial" w:hAnsi="Arial Narrow" w:cs="Arial"/>
                <w:sz w:val="14"/>
                <w:lang w:val="en-GB" w:eastAsia="en-GB" w:bidi="en-GB"/>
              </w:rPr>
              <w:t>;</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3: 17 (81%) of 21</w:t>
            </w:r>
          </w:p>
        </w:tc>
        <w:tc>
          <w:tcPr>
            <w:tcW w:w="122" w:type="dxa"/>
            <w:tcBorders>
              <w:left w:val="single" w:sz="2" w:space="0" w:color="006F3C"/>
            </w:tcBorders>
            <w:shd w:val="clear" w:color="auto" w:fill="F4D9DE"/>
          </w:tcPr>
          <w:p w14:paraId="2E4C4C92"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52C88F8E" w14:textId="77777777" w:rsidTr="00F60DD4">
        <w:trPr>
          <w:trHeight w:val="190"/>
        </w:trPr>
        <w:tc>
          <w:tcPr>
            <w:tcW w:w="116" w:type="dxa"/>
            <w:vMerge/>
            <w:tcBorders>
              <w:top w:val="nil"/>
              <w:left w:val="single" w:sz="2" w:space="0" w:color="006F3C"/>
            </w:tcBorders>
            <w:shd w:val="clear" w:color="auto" w:fill="F4D9DE"/>
          </w:tcPr>
          <w:p w14:paraId="3F9811B7"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47EC7C3C" w14:textId="46F520E2"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you perform a prostate cancer-targeted PET at staging,</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which tracer would you prefer?</w:t>
            </w:r>
          </w:p>
        </w:tc>
        <w:tc>
          <w:tcPr>
            <w:tcW w:w="3312" w:type="dxa"/>
            <w:shd w:val="clear" w:color="auto" w:fill="FFFFFF"/>
            <w:tcMar>
              <w:top w:w="57" w:type="dxa"/>
              <w:left w:w="57" w:type="dxa"/>
              <w:bottom w:w="57" w:type="dxa"/>
              <w:right w:w="57" w:type="dxa"/>
            </w:tcMar>
          </w:tcPr>
          <w:p w14:paraId="5666F312" w14:textId="7C4F32F4" w:rsidR="00D751C9" w:rsidRPr="00D751C9" w:rsidRDefault="00D751C9" w:rsidP="00D751C9">
            <w:pPr>
              <w:spacing w:before="26"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prostate cancer-targeted PET is performed at staging,</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then PSMA is the preferred tracer</w:t>
            </w:r>
          </w:p>
        </w:tc>
        <w:tc>
          <w:tcPr>
            <w:tcW w:w="1956" w:type="dxa"/>
            <w:tcBorders>
              <w:right w:val="single" w:sz="2" w:space="0" w:color="006F3C"/>
            </w:tcBorders>
            <w:shd w:val="clear" w:color="auto" w:fill="FFFFFF"/>
            <w:tcMar>
              <w:top w:w="57" w:type="dxa"/>
              <w:left w:w="57" w:type="dxa"/>
              <w:bottom w:w="57" w:type="dxa"/>
              <w:right w:w="57" w:type="dxa"/>
            </w:tcMar>
          </w:tcPr>
          <w:p w14:paraId="4687DB3F" w14:textId="77777777"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Round 1: 19 (86%) of 21</w:t>
            </w:r>
          </w:p>
        </w:tc>
        <w:tc>
          <w:tcPr>
            <w:tcW w:w="122" w:type="dxa"/>
            <w:tcBorders>
              <w:left w:val="single" w:sz="2" w:space="0" w:color="006F3C"/>
            </w:tcBorders>
            <w:shd w:val="clear" w:color="auto" w:fill="F4D9DE"/>
          </w:tcPr>
          <w:p w14:paraId="64F2D454"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6DB6730D" w14:textId="77777777" w:rsidTr="00F60DD4">
        <w:trPr>
          <w:trHeight w:val="190"/>
        </w:trPr>
        <w:tc>
          <w:tcPr>
            <w:tcW w:w="116" w:type="dxa"/>
            <w:vMerge/>
            <w:tcBorders>
              <w:top w:val="nil"/>
              <w:left w:val="single" w:sz="2" w:space="0" w:color="006F3C"/>
            </w:tcBorders>
            <w:shd w:val="clear" w:color="auto" w:fill="F4D9DE"/>
          </w:tcPr>
          <w:p w14:paraId="300400F5"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24A59245" w14:textId="54EFE7CD" w:rsidR="00D751C9" w:rsidRPr="00D751C9" w:rsidRDefault="00D751C9" w:rsidP="00D751C9">
            <w:pPr>
              <w:spacing w:before="26"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castration-naive prostate cancer should be studied</w:t>
            </w:r>
            <w:r w:rsidR="00F60DD4" w:rsidRPr="00D751C9">
              <w:rPr>
                <w:rFonts w:ascii="Arial Narrow" w:eastAsia="Arial" w:hAnsi="Arial Narrow" w:cs="Arial"/>
                <w:sz w:val="14"/>
                <w:lang w:val="en-GB" w:eastAsia="en-GB" w:bidi="en-GB"/>
              </w:rPr>
              <w:t xml:space="preserve"> with imaging methods at biochemical recurrence?</w:t>
            </w:r>
          </w:p>
        </w:tc>
        <w:tc>
          <w:tcPr>
            <w:tcW w:w="3312" w:type="dxa"/>
            <w:shd w:val="clear" w:color="auto" w:fill="F4D9DE"/>
            <w:tcMar>
              <w:top w:w="57" w:type="dxa"/>
              <w:left w:w="57" w:type="dxa"/>
              <w:bottom w:w="57" w:type="dxa"/>
              <w:right w:w="57" w:type="dxa"/>
            </w:tcMar>
          </w:tcPr>
          <w:p w14:paraId="7EE91DAE" w14:textId="6C5FFB24" w:rsidR="00D751C9" w:rsidRPr="00D751C9" w:rsidRDefault="00D751C9" w:rsidP="00D751C9">
            <w:pPr>
              <w:spacing w:before="26"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All castration-naive prostate cancer patients should be</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studied with imaging methods at biochemical recurrence</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(applying appropriate definitions for radiotherapy or</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surgical failure according to guidelines)</w:t>
            </w:r>
          </w:p>
        </w:tc>
        <w:tc>
          <w:tcPr>
            <w:tcW w:w="1956" w:type="dxa"/>
            <w:tcBorders>
              <w:right w:val="single" w:sz="2" w:space="0" w:color="006F3C"/>
            </w:tcBorders>
            <w:shd w:val="clear" w:color="auto" w:fill="F4D9DE"/>
            <w:tcMar>
              <w:top w:w="57" w:type="dxa"/>
              <w:left w:w="57" w:type="dxa"/>
              <w:bottom w:w="57" w:type="dxa"/>
              <w:right w:w="57" w:type="dxa"/>
            </w:tcMar>
          </w:tcPr>
          <w:p w14:paraId="50249A64" w14:textId="1E1E3CA3" w:rsidR="00D751C9" w:rsidRPr="00D751C9" w:rsidRDefault="00D751C9" w:rsidP="00D751C9">
            <w:pPr>
              <w:spacing w:before="26"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12 (54%) of 22; </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2:</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19 (86%) of 22</w:t>
            </w:r>
          </w:p>
        </w:tc>
        <w:tc>
          <w:tcPr>
            <w:tcW w:w="122" w:type="dxa"/>
            <w:tcBorders>
              <w:left w:val="single" w:sz="2" w:space="0" w:color="006F3C"/>
            </w:tcBorders>
            <w:shd w:val="clear" w:color="auto" w:fill="F4D9DE"/>
          </w:tcPr>
          <w:p w14:paraId="2743C3AC"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2BDF8536" w14:textId="77777777" w:rsidTr="00F60DD4">
        <w:trPr>
          <w:trHeight w:val="190"/>
        </w:trPr>
        <w:tc>
          <w:tcPr>
            <w:tcW w:w="116" w:type="dxa"/>
            <w:vMerge/>
            <w:tcBorders>
              <w:top w:val="nil"/>
              <w:left w:val="single" w:sz="2" w:space="0" w:color="006F3C"/>
            </w:tcBorders>
            <w:shd w:val="clear" w:color="auto" w:fill="F4D9DE"/>
          </w:tcPr>
          <w:p w14:paraId="43867A10"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19058C69" w14:textId="13721952" w:rsidR="00D751C9" w:rsidRPr="00D751C9" w:rsidRDefault="00D751C9" w:rsidP="00D751C9">
            <w:pPr>
              <w:spacing w:before="26"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parameters should be considered for deciding to</w:t>
            </w:r>
            <w:r w:rsidR="00F60DD4" w:rsidRPr="00D751C9">
              <w:rPr>
                <w:rFonts w:ascii="Arial Narrow" w:eastAsia="Arial" w:hAnsi="Arial Narrow" w:cs="Arial"/>
                <w:sz w:val="14"/>
                <w:lang w:val="en-GB" w:eastAsia="en-GB" w:bidi="en-GB"/>
              </w:rPr>
              <w:t xml:space="preserve"> refer a patient with castration-naive prostate cancer biochemical recurrence to imaging?</w:t>
            </w:r>
          </w:p>
        </w:tc>
        <w:tc>
          <w:tcPr>
            <w:tcW w:w="3312" w:type="dxa"/>
            <w:shd w:val="clear" w:color="auto" w:fill="FFFFFF"/>
            <w:tcMar>
              <w:top w:w="57" w:type="dxa"/>
              <w:left w:w="57" w:type="dxa"/>
              <w:bottom w:w="57" w:type="dxa"/>
              <w:right w:w="57" w:type="dxa"/>
            </w:tcMar>
          </w:tcPr>
          <w:p w14:paraId="04E84E66" w14:textId="379DD910" w:rsidR="00D751C9" w:rsidRPr="00D751C9" w:rsidRDefault="00D751C9" w:rsidP="00D751C9">
            <w:pPr>
              <w:spacing w:before="25"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PSA values, PSA kinetics, previous therapies, and ongoing</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therapies should all be considered for deciding to refer a</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patient with castration-naive prostate cancer biochemical recurrence to imaging</w:t>
            </w:r>
          </w:p>
        </w:tc>
        <w:tc>
          <w:tcPr>
            <w:tcW w:w="1956" w:type="dxa"/>
            <w:tcBorders>
              <w:right w:val="single" w:sz="2" w:space="0" w:color="006F3C"/>
            </w:tcBorders>
            <w:shd w:val="clear" w:color="auto" w:fill="FFFFFF"/>
            <w:tcMar>
              <w:top w:w="57" w:type="dxa"/>
              <w:left w:w="57" w:type="dxa"/>
              <w:bottom w:w="57" w:type="dxa"/>
              <w:right w:w="57" w:type="dxa"/>
            </w:tcMar>
          </w:tcPr>
          <w:p w14:paraId="5F143FA6" w14:textId="7C05565B" w:rsidR="00D751C9" w:rsidRPr="00D751C9" w:rsidRDefault="00D751C9" w:rsidP="00D751C9">
            <w:pPr>
              <w:spacing w:before="25"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11 (50%) of 22; </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2:</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20 (95%) of 21</w:t>
            </w:r>
          </w:p>
        </w:tc>
        <w:tc>
          <w:tcPr>
            <w:tcW w:w="122" w:type="dxa"/>
            <w:tcBorders>
              <w:left w:val="single" w:sz="2" w:space="0" w:color="006F3C"/>
            </w:tcBorders>
            <w:shd w:val="clear" w:color="auto" w:fill="F4D9DE"/>
          </w:tcPr>
          <w:p w14:paraId="26DA9DAC"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967C28D" w14:textId="77777777" w:rsidTr="00F60DD4">
        <w:trPr>
          <w:trHeight w:val="189"/>
        </w:trPr>
        <w:tc>
          <w:tcPr>
            <w:tcW w:w="116" w:type="dxa"/>
            <w:vMerge/>
            <w:tcBorders>
              <w:top w:val="nil"/>
              <w:left w:val="single" w:sz="2" w:space="0" w:color="006F3C"/>
            </w:tcBorders>
            <w:shd w:val="clear" w:color="auto" w:fill="F4D9DE"/>
          </w:tcPr>
          <w:p w14:paraId="40AC256E"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2724D689" w14:textId="62B08638" w:rsidR="00D751C9" w:rsidRPr="00D751C9" w:rsidRDefault="00D751C9" w:rsidP="00D751C9">
            <w:pPr>
              <w:spacing w:before="25"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In patients with castration-naive prostate cancer</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presenting with biochemical recurrence after radical prostatectomy, what PSA concentration would you suggest as a cutoff for initiating imaging?</w:t>
            </w:r>
          </w:p>
        </w:tc>
        <w:tc>
          <w:tcPr>
            <w:tcW w:w="3312" w:type="dxa"/>
            <w:shd w:val="clear" w:color="auto" w:fill="F4D9DE"/>
            <w:tcMar>
              <w:top w:w="57" w:type="dxa"/>
              <w:left w:w="57" w:type="dxa"/>
              <w:bottom w:w="57" w:type="dxa"/>
              <w:right w:w="57" w:type="dxa"/>
            </w:tcMar>
          </w:tcPr>
          <w:p w14:paraId="4B471CFC" w14:textId="65E74A06" w:rsidR="00D751C9" w:rsidRPr="00D751C9" w:rsidRDefault="00D751C9" w:rsidP="00D751C9">
            <w:pPr>
              <w:spacing w:before="25"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For initiating imaging in patients with castration-</w:t>
            </w:r>
            <w:r w:rsidR="00F60DD4">
              <w:rPr>
                <w:rFonts w:ascii="Arial Narrow" w:eastAsia="Arial" w:hAnsi="Arial Narrow" w:cs="Arial"/>
                <w:sz w:val="14"/>
                <w:lang w:val="en-GB" w:eastAsia="en-GB" w:bidi="en-GB"/>
              </w:rPr>
              <w:t xml:space="preserve">naïve </w:t>
            </w:r>
            <w:r w:rsidR="00F60DD4" w:rsidRPr="00D751C9">
              <w:rPr>
                <w:rFonts w:ascii="Arial Narrow" w:eastAsia="Arial" w:hAnsi="Arial Narrow" w:cs="Arial"/>
                <w:sz w:val="14"/>
                <w:lang w:val="en-GB" w:eastAsia="en-GB" w:bidi="en-GB"/>
              </w:rPr>
              <w:t>prostate cancer presenting with biochemical recurrence,</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PSA concentration to suggest as cutoff is PSA &lt;0·5 ng/mL</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(early relapse)</w:t>
            </w:r>
          </w:p>
        </w:tc>
        <w:tc>
          <w:tcPr>
            <w:tcW w:w="1956" w:type="dxa"/>
            <w:tcBorders>
              <w:right w:val="single" w:sz="2" w:space="0" w:color="006F3C"/>
            </w:tcBorders>
            <w:shd w:val="clear" w:color="auto" w:fill="F4D9DE"/>
            <w:tcMar>
              <w:top w:w="57" w:type="dxa"/>
              <w:left w:w="57" w:type="dxa"/>
              <w:bottom w:w="57" w:type="dxa"/>
              <w:right w:w="57" w:type="dxa"/>
            </w:tcMar>
          </w:tcPr>
          <w:p w14:paraId="022FD9E0" w14:textId="2EC1A1F8" w:rsidR="00D751C9" w:rsidRPr="00D751C9" w:rsidRDefault="00D751C9" w:rsidP="00D751C9">
            <w:pPr>
              <w:spacing w:before="25"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9 (41%) of 22; </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2:</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12 (57%) of 21;</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3: 16 (76%)</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of 21</w:t>
            </w:r>
          </w:p>
        </w:tc>
        <w:tc>
          <w:tcPr>
            <w:tcW w:w="122" w:type="dxa"/>
            <w:tcBorders>
              <w:left w:val="single" w:sz="2" w:space="0" w:color="006F3C"/>
            </w:tcBorders>
            <w:shd w:val="clear" w:color="auto" w:fill="F4D9DE"/>
          </w:tcPr>
          <w:p w14:paraId="00C61030"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03D352BA" w14:textId="77777777" w:rsidTr="00F60DD4">
        <w:trPr>
          <w:trHeight w:val="189"/>
        </w:trPr>
        <w:tc>
          <w:tcPr>
            <w:tcW w:w="116" w:type="dxa"/>
            <w:vMerge/>
            <w:tcBorders>
              <w:top w:val="nil"/>
              <w:left w:val="single" w:sz="2" w:space="0" w:color="006F3C"/>
            </w:tcBorders>
            <w:shd w:val="clear" w:color="auto" w:fill="F4D9DE"/>
          </w:tcPr>
          <w:p w14:paraId="4F152981"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79E60FE1" w14:textId="67BB7560" w:rsidR="00D751C9" w:rsidRPr="00D751C9" w:rsidRDefault="00D751C9" w:rsidP="00D751C9">
            <w:pPr>
              <w:spacing w:before="25"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patients with castration-resistant prostate cancer</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should be studied with imaging methods at biochemical recurrence?</w:t>
            </w:r>
          </w:p>
        </w:tc>
        <w:tc>
          <w:tcPr>
            <w:tcW w:w="3312" w:type="dxa"/>
            <w:shd w:val="clear" w:color="auto" w:fill="FFFFFF"/>
            <w:tcMar>
              <w:top w:w="57" w:type="dxa"/>
              <w:left w:w="57" w:type="dxa"/>
              <w:bottom w:w="57" w:type="dxa"/>
              <w:right w:w="57" w:type="dxa"/>
            </w:tcMar>
          </w:tcPr>
          <w:p w14:paraId="09FC18A9" w14:textId="6C0991EA" w:rsidR="00D751C9" w:rsidRPr="00D751C9" w:rsidRDefault="00D751C9" w:rsidP="00D751C9">
            <w:pPr>
              <w:spacing w:before="25"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All patients with castration-resistant prostate cancer should</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be studied with imaging methods at biochemical recurrence</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(applying appropriate definitions for radiotherapy or surgical failure according to guidelines)</w:t>
            </w:r>
          </w:p>
        </w:tc>
        <w:tc>
          <w:tcPr>
            <w:tcW w:w="1956" w:type="dxa"/>
            <w:tcBorders>
              <w:right w:val="single" w:sz="2" w:space="0" w:color="006F3C"/>
            </w:tcBorders>
            <w:shd w:val="clear" w:color="auto" w:fill="FFFFFF"/>
            <w:tcMar>
              <w:top w:w="57" w:type="dxa"/>
              <w:left w:w="57" w:type="dxa"/>
              <w:bottom w:w="57" w:type="dxa"/>
              <w:right w:w="57" w:type="dxa"/>
            </w:tcMar>
          </w:tcPr>
          <w:p w14:paraId="274AD0DB" w14:textId="63E09D60" w:rsidR="00D751C9" w:rsidRPr="00D751C9" w:rsidRDefault="00D751C9" w:rsidP="00D751C9">
            <w:pPr>
              <w:spacing w:before="25"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12 (57%) of 21; </w:t>
            </w:r>
            <w:r w:rsidR="00F60DD4">
              <w:rPr>
                <w:rFonts w:ascii="Arial Narrow" w:eastAsia="Arial" w:hAnsi="Arial Narrow" w:cs="Arial"/>
                <w:sz w:val="14"/>
                <w:lang w:val="en-GB" w:eastAsia="en-GB" w:bidi="en-GB"/>
              </w:rPr>
              <w:br/>
              <w:t>Ro</w:t>
            </w:r>
            <w:r w:rsidR="00F60DD4" w:rsidRPr="00D751C9">
              <w:rPr>
                <w:rFonts w:ascii="Arial Narrow" w:eastAsia="Arial" w:hAnsi="Arial Narrow" w:cs="Arial"/>
                <w:sz w:val="14"/>
                <w:lang w:val="en-GB" w:eastAsia="en-GB" w:bidi="en-GB"/>
              </w:rPr>
              <w:t>und 2:</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18 (86%) of 21</w:t>
            </w:r>
          </w:p>
        </w:tc>
        <w:tc>
          <w:tcPr>
            <w:tcW w:w="122" w:type="dxa"/>
            <w:tcBorders>
              <w:left w:val="single" w:sz="2" w:space="0" w:color="006F3C"/>
            </w:tcBorders>
            <w:shd w:val="clear" w:color="auto" w:fill="F4D9DE"/>
          </w:tcPr>
          <w:p w14:paraId="7C3B23A4"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A2B5346" w14:textId="77777777" w:rsidTr="00F60DD4">
        <w:trPr>
          <w:trHeight w:val="189"/>
        </w:trPr>
        <w:tc>
          <w:tcPr>
            <w:tcW w:w="116" w:type="dxa"/>
            <w:vMerge/>
            <w:tcBorders>
              <w:top w:val="nil"/>
              <w:left w:val="single" w:sz="2" w:space="0" w:color="006F3C"/>
            </w:tcBorders>
            <w:shd w:val="clear" w:color="auto" w:fill="F4D9DE"/>
          </w:tcPr>
          <w:p w14:paraId="12D04ED3"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5C6CB610" w14:textId="027B7F7F" w:rsidR="00D751C9" w:rsidRPr="00D751C9" w:rsidRDefault="00D751C9" w:rsidP="00D751C9">
            <w:pPr>
              <w:spacing w:before="24"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parameters should be considered for deciding</w:t>
            </w:r>
            <w:r w:rsidR="00F60DD4" w:rsidRPr="00D751C9">
              <w:rPr>
                <w:rFonts w:ascii="Arial Narrow" w:eastAsia="Arial" w:hAnsi="Arial Narrow" w:cs="Arial"/>
                <w:sz w:val="14"/>
                <w:lang w:val="en-GB" w:eastAsia="en-GB" w:bidi="en-GB"/>
              </w:rPr>
              <w:t xml:space="preserve"> whether to refer a patient with castration-resistant prostate cancer biochemical recurrence to imaging?</w:t>
            </w:r>
          </w:p>
        </w:tc>
        <w:tc>
          <w:tcPr>
            <w:tcW w:w="3312" w:type="dxa"/>
            <w:shd w:val="clear" w:color="auto" w:fill="F4D9DE"/>
            <w:tcMar>
              <w:top w:w="57" w:type="dxa"/>
              <w:left w:w="57" w:type="dxa"/>
              <w:bottom w:w="57" w:type="dxa"/>
              <w:right w:w="57" w:type="dxa"/>
            </w:tcMar>
          </w:tcPr>
          <w:p w14:paraId="5191739B" w14:textId="2C0CA852"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PSA values, PSA kinetics, previous therapies, and ongoing</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therapies should all be considered for deciding whether to</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refer a patient with castration-resistant prostate cancer</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biochemical recurrence to imaging</w:t>
            </w:r>
          </w:p>
        </w:tc>
        <w:tc>
          <w:tcPr>
            <w:tcW w:w="1956" w:type="dxa"/>
            <w:tcBorders>
              <w:right w:val="single" w:sz="2" w:space="0" w:color="006F3C"/>
            </w:tcBorders>
            <w:shd w:val="clear" w:color="auto" w:fill="F4D9DE"/>
            <w:tcMar>
              <w:top w:w="57" w:type="dxa"/>
              <w:left w:w="57" w:type="dxa"/>
              <w:bottom w:w="57" w:type="dxa"/>
              <w:right w:w="57" w:type="dxa"/>
            </w:tcMar>
          </w:tcPr>
          <w:p w14:paraId="540CDB72" w14:textId="6D6665A7"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11 (52%) of 21; </w:t>
            </w:r>
            <w:r w:rsidR="00F60DD4">
              <w:rPr>
                <w:rFonts w:ascii="Arial Narrow" w:eastAsia="Arial" w:hAnsi="Arial Narrow" w:cs="Arial"/>
                <w:sz w:val="14"/>
                <w:lang w:val="en-GB" w:eastAsia="en-GB" w:bidi="en-GB"/>
              </w:rPr>
              <w:br/>
              <w:t>R</w:t>
            </w:r>
            <w:r w:rsidR="00F60DD4" w:rsidRPr="00D751C9">
              <w:rPr>
                <w:rFonts w:ascii="Arial Narrow" w:eastAsia="Arial" w:hAnsi="Arial Narrow" w:cs="Arial"/>
                <w:sz w:val="14"/>
                <w:lang w:val="en-GB" w:eastAsia="en-GB" w:bidi="en-GB"/>
              </w:rPr>
              <w:t>ound 2:</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20 (95%) of 21</w:t>
            </w:r>
          </w:p>
        </w:tc>
        <w:tc>
          <w:tcPr>
            <w:tcW w:w="122" w:type="dxa"/>
            <w:tcBorders>
              <w:left w:val="single" w:sz="2" w:space="0" w:color="006F3C"/>
            </w:tcBorders>
            <w:shd w:val="clear" w:color="auto" w:fill="F4D9DE"/>
          </w:tcPr>
          <w:p w14:paraId="0C4B91F6"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32BEA6A7" w14:textId="77777777" w:rsidTr="00F60DD4">
        <w:trPr>
          <w:trHeight w:val="188"/>
        </w:trPr>
        <w:tc>
          <w:tcPr>
            <w:tcW w:w="116" w:type="dxa"/>
            <w:vMerge/>
            <w:tcBorders>
              <w:top w:val="nil"/>
              <w:left w:val="single" w:sz="2" w:space="0" w:color="006F3C"/>
            </w:tcBorders>
            <w:shd w:val="clear" w:color="auto" w:fill="F4D9DE"/>
          </w:tcPr>
          <w:p w14:paraId="24EC75DD"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1E725C0E" w14:textId="008981A6"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consider bone scintigraphy useful at biochemical</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recurrence?</w:t>
            </w:r>
          </w:p>
        </w:tc>
        <w:tc>
          <w:tcPr>
            <w:tcW w:w="3312" w:type="dxa"/>
            <w:shd w:val="clear" w:color="auto" w:fill="FFFFFF"/>
            <w:tcMar>
              <w:top w:w="57" w:type="dxa"/>
              <w:left w:w="57" w:type="dxa"/>
              <w:bottom w:w="57" w:type="dxa"/>
              <w:right w:w="57" w:type="dxa"/>
            </w:tcMar>
          </w:tcPr>
          <w:p w14:paraId="2442447A" w14:textId="6829926F"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Bone scintigraphy is useful at biochemical recurrence in a</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minority of patients (if other methods are not available)</w:t>
            </w:r>
          </w:p>
        </w:tc>
        <w:tc>
          <w:tcPr>
            <w:tcW w:w="1956" w:type="dxa"/>
            <w:tcBorders>
              <w:right w:val="single" w:sz="2" w:space="0" w:color="006F3C"/>
            </w:tcBorders>
            <w:shd w:val="clear" w:color="auto" w:fill="FFFFFF"/>
            <w:tcMar>
              <w:top w:w="57" w:type="dxa"/>
              <w:left w:w="57" w:type="dxa"/>
              <w:bottom w:w="57" w:type="dxa"/>
              <w:right w:w="57" w:type="dxa"/>
            </w:tcMar>
          </w:tcPr>
          <w:p w14:paraId="1D49C96D" w14:textId="6A8A7473"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8 (36%) of 22;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15 (71%) of 21</w:t>
            </w:r>
          </w:p>
        </w:tc>
        <w:tc>
          <w:tcPr>
            <w:tcW w:w="122" w:type="dxa"/>
            <w:tcBorders>
              <w:left w:val="single" w:sz="2" w:space="0" w:color="006F3C"/>
            </w:tcBorders>
            <w:shd w:val="clear" w:color="auto" w:fill="F4D9DE"/>
          </w:tcPr>
          <w:p w14:paraId="32C10A8E"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2EB2B5F" w14:textId="77777777" w:rsidTr="00F60DD4">
        <w:trPr>
          <w:trHeight w:val="188"/>
        </w:trPr>
        <w:tc>
          <w:tcPr>
            <w:tcW w:w="116" w:type="dxa"/>
            <w:vMerge/>
            <w:tcBorders>
              <w:top w:val="nil"/>
              <w:left w:val="single" w:sz="2" w:space="0" w:color="006F3C"/>
            </w:tcBorders>
            <w:shd w:val="clear" w:color="auto" w:fill="F4D9DE"/>
          </w:tcPr>
          <w:p w14:paraId="75E175DF"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6573F19B" w14:textId="5A67B573"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recommend performing fluoride PET at biochemical</w:t>
            </w:r>
            <w:r w:rsidR="00F60DD4" w:rsidRPr="00D751C9">
              <w:rPr>
                <w:rFonts w:ascii="Arial Narrow" w:eastAsia="Arial" w:hAnsi="Arial Narrow" w:cs="Arial"/>
                <w:sz w:val="14"/>
                <w:lang w:val="en-GB" w:eastAsia="en-GB" w:bidi="en-GB"/>
              </w:rPr>
              <w:t xml:space="preserve"> recurrence?</w:t>
            </w:r>
          </w:p>
        </w:tc>
        <w:tc>
          <w:tcPr>
            <w:tcW w:w="3312" w:type="dxa"/>
            <w:shd w:val="clear" w:color="auto" w:fill="F4D9DE"/>
            <w:tcMar>
              <w:top w:w="57" w:type="dxa"/>
              <w:left w:w="57" w:type="dxa"/>
              <w:bottom w:w="57" w:type="dxa"/>
              <w:right w:w="57" w:type="dxa"/>
            </w:tcMar>
          </w:tcPr>
          <w:p w14:paraId="2C08C26B" w14:textId="41E7507A"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It is not recommended to perform fluoride PET at</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biochemical recurrence</w:t>
            </w:r>
          </w:p>
        </w:tc>
        <w:tc>
          <w:tcPr>
            <w:tcW w:w="1956" w:type="dxa"/>
            <w:tcBorders>
              <w:right w:val="single" w:sz="2" w:space="0" w:color="006F3C"/>
            </w:tcBorders>
            <w:shd w:val="clear" w:color="auto" w:fill="F4D9DE"/>
            <w:tcMar>
              <w:top w:w="57" w:type="dxa"/>
              <w:left w:w="57" w:type="dxa"/>
              <w:bottom w:w="57" w:type="dxa"/>
              <w:right w:w="57" w:type="dxa"/>
            </w:tcMar>
          </w:tcPr>
          <w:p w14:paraId="6717470E" w14:textId="77777777"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Round 1: 15 (71%) of 21</w:t>
            </w:r>
          </w:p>
        </w:tc>
        <w:tc>
          <w:tcPr>
            <w:tcW w:w="122" w:type="dxa"/>
            <w:tcBorders>
              <w:left w:val="single" w:sz="2" w:space="0" w:color="006F3C"/>
            </w:tcBorders>
            <w:shd w:val="clear" w:color="auto" w:fill="F4D9DE"/>
          </w:tcPr>
          <w:p w14:paraId="030DC92B"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97F2CDD" w14:textId="77777777" w:rsidTr="00F60DD4">
        <w:trPr>
          <w:trHeight w:val="188"/>
        </w:trPr>
        <w:tc>
          <w:tcPr>
            <w:tcW w:w="116" w:type="dxa"/>
            <w:vMerge/>
            <w:tcBorders>
              <w:top w:val="nil"/>
              <w:left w:val="single" w:sz="2" w:space="0" w:color="006F3C"/>
            </w:tcBorders>
            <w:shd w:val="clear" w:color="auto" w:fill="F4D9DE"/>
          </w:tcPr>
          <w:p w14:paraId="33AB7A52"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54805855" w14:textId="3B79136F"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recommend performing WB-MRI at biochemical</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recurrence?</w:t>
            </w:r>
          </w:p>
        </w:tc>
        <w:tc>
          <w:tcPr>
            <w:tcW w:w="3312" w:type="dxa"/>
            <w:shd w:val="clear" w:color="auto" w:fill="FFFFFF"/>
            <w:tcMar>
              <w:top w:w="57" w:type="dxa"/>
              <w:left w:w="57" w:type="dxa"/>
              <w:bottom w:w="57" w:type="dxa"/>
              <w:right w:w="57" w:type="dxa"/>
            </w:tcMar>
          </w:tcPr>
          <w:p w14:paraId="5AC985BA" w14:textId="77777777" w:rsidR="00D751C9" w:rsidRPr="00D751C9" w:rsidRDefault="00D751C9" w:rsidP="00D751C9">
            <w:pPr>
              <w:spacing w:before="24"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WB-MRI is not recommended at biochemical recurrence</w:t>
            </w:r>
          </w:p>
        </w:tc>
        <w:tc>
          <w:tcPr>
            <w:tcW w:w="1956" w:type="dxa"/>
            <w:tcBorders>
              <w:right w:val="single" w:sz="2" w:space="0" w:color="006F3C"/>
            </w:tcBorders>
            <w:shd w:val="clear" w:color="auto" w:fill="FFFFFF"/>
            <w:tcMar>
              <w:top w:w="57" w:type="dxa"/>
              <w:left w:w="57" w:type="dxa"/>
              <w:bottom w:w="57" w:type="dxa"/>
              <w:right w:w="57" w:type="dxa"/>
            </w:tcMar>
          </w:tcPr>
          <w:p w14:paraId="001C0A0A" w14:textId="090C366C"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7 (32%) of 22;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 xml:space="preserve">9 (43%) of 21;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3: 15 (71%)</w:t>
            </w:r>
            <w:r w:rsidR="00CB2685">
              <w:rPr>
                <w:rFonts w:ascii="Arial Narrow" w:eastAsia="Arial" w:hAnsi="Arial Narrow" w:cs="Arial"/>
                <w:sz w:val="14"/>
                <w:lang w:val="en-GB" w:eastAsia="en-GB" w:bidi="en-GB"/>
              </w:rPr>
              <w:t xml:space="preserve"> of 21</w:t>
            </w:r>
          </w:p>
        </w:tc>
        <w:tc>
          <w:tcPr>
            <w:tcW w:w="122" w:type="dxa"/>
            <w:tcBorders>
              <w:left w:val="single" w:sz="2" w:space="0" w:color="006F3C"/>
            </w:tcBorders>
            <w:shd w:val="clear" w:color="auto" w:fill="F4D9DE"/>
          </w:tcPr>
          <w:p w14:paraId="4EB9D076"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7DFE1BA1" w14:textId="77777777" w:rsidTr="00F60DD4">
        <w:trPr>
          <w:trHeight w:val="188"/>
        </w:trPr>
        <w:tc>
          <w:tcPr>
            <w:tcW w:w="116" w:type="dxa"/>
            <w:vMerge/>
            <w:tcBorders>
              <w:top w:val="nil"/>
              <w:left w:val="single" w:sz="2" w:space="0" w:color="006F3C"/>
            </w:tcBorders>
            <w:shd w:val="clear" w:color="auto" w:fill="F4D9DE"/>
          </w:tcPr>
          <w:p w14:paraId="125921AF"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006DEAE1" w14:textId="55591A73" w:rsidR="00D751C9" w:rsidRPr="00D751C9" w:rsidRDefault="00D751C9" w:rsidP="00D751C9">
            <w:pPr>
              <w:spacing w:before="24"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recommend performing multiparametric MRI at</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biochemical recurrence?</w:t>
            </w:r>
          </w:p>
        </w:tc>
        <w:tc>
          <w:tcPr>
            <w:tcW w:w="3312" w:type="dxa"/>
            <w:shd w:val="clear" w:color="auto" w:fill="F4D9DE"/>
            <w:tcMar>
              <w:top w:w="57" w:type="dxa"/>
              <w:left w:w="57" w:type="dxa"/>
              <w:bottom w:w="57" w:type="dxa"/>
              <w:right w:w="57" w:type="dxa"/>
            </w:tcMar>
          </w:tcPr>
          <w:p w14:paraId="13D864FA" w14:textId="7C12D88B" w:rsidR="00D751C9" w:rsidRPr="00D751C9" w:rsidRDefault="00D751C9" w:rsidP="00D751C9">
            <w:pPr>
              <w:spacing w:before="24"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Performing multiparametric MRI at biochemical recurrence</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depends on clinical factors such as primary therapy method,</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pathologic status, and PSA kinetics</w:t>
            </w:r>
          </w:p>
        </w:tc>
        <w:tc>
          <w:tcPr>
            <w:tcW w:w="1956" w:type="dxa"/>
            <w:tcBorders>
              <w:right w:val="single" w:sz="2" w:space="0" w:color="006F3C"/>
            </w:tcBorders>
            <w:shd w:val="clear" w:color="auto" w:fill="F4D9DE"/>
            <w:tcMar>
              <w:top w:w="57" w:type="dxa"/>
              <w:left w:w="57" w:type="dxa"/>
              <w:bottom w:w="57" w:type="dxa"/>
              <w:right w:w="57" w:type="dxa"/>
            </w:tcMar>
          </w:tcPr>
          <w:p w14:paraId="6FA676E0" w14:textId="4C3F5740"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10 (45%) of 22;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19 (86%) of 22</w:t>
            </w:r>
          </w:p>
        </w:tc>
        <w:tc>
          <w:tcPr>
            <w:tcW w:w="122" w:type="dxa"/>
            <w:tcBorders>
              <w:left w:val="single" w:sz="2" w:space="0" w:color="006F3C"/>
            </w:tcBorders>
            <w:shd w:val="clear" w:color="auto" w:fill="F4D9DE"/>
          </w:tcPr>
          <w:p w14:paraId="602B7396"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38AF84AB" w14:textId="77777777" w:rsidTr="00F60DD4">
        <w:trPr>
          <w:trHeight w:val="188"/>
        </w:trPr>
        <w:tc>
          <w:tcPr>
            <w:tcW w:w="116" w:type="dxa"/>
            <w:vMerge/>
            <w:tcBorders>
              <w:top w:val="nil"/>
              <w:left w:val="single" w:sz="2" w:space="0" w:color="006F3C"/>
            </w:tcBorders>
            <w:shd w:val="clear" w:color="auto" w:fill="F4D9DE"/>
          </w:tcPr>
          <w:p w14:paraId="5C20B07C"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6D1F5A2A" w14:textId="1C7B4B29" w:rsidR="00D751C9" w:rsidRPr="00D751C9" w:rsidRDefault="00D751C9" w:rsidP="00D751C9">
            <w:pPr>
              <w:spacing w:before="24"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Do you recommend performing prostate cancer-targeted</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PET at biochemical recurrence?</w:t>
            </w:r>
          </w:p>
        </w:tc>
        <w:tc>
          <w:tcPr>
            <w:tcW w:w="3312" w:type="dxa"/>
            <w:shd w:val="clear" w:color="auto" w:fill="FFFFFF"/>
            <w:tcMar>
              <w:top w:w="57" w:type="dxa"/>
              <w:left w:w="57" w:type="dxa"/>
              <w:bottom w:w="57" w:type="dxa"/>
              <w:right w:w="57" w:type="dxa"/>
            </w:tcMar>
          </w:tcPr>
          <w:p w14:paraId="66D2E448" w14:textId="1CEA7D63" w:rsidR="00D751C9" w:rsidRPr="00D751C9" w:rsidRDefault="00D751C9" w:rsidP="00D751C9">
            <w:pPr>
              <w:spacing w:before="24"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Prostate cancer-targeted PET is recommended at</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biochemical recurrence in the majority of patients,</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to replace conventional imaging methods (bone scintigraphy or CT)</w:t>
            </w:r>
          </w:p>
        </w:tc>
        <w:tc>
          <w:tcPr>
            <w:tcW w:w="1956" w:type="dxa"/>
            <w:tcBorders>
              <w:right w:val="single" w:sz="2" w:space="0" w:color="006F3C"/>
            </w:tcBorders>
            <w:shd w:val="clear" w:color="auto" w:fill="FFFFFF"/>
            <w:tcMar>
              <w:top w:w="57" w:type="dxa"/>
              <w:left w:w="57" w:type="dxa"/>
              <w:bottom w:w="57" w:type="dxa"/>
              <w:right w:w="57" w:type="dxa"/>
            </w:tcMar>
          </w:tcPr>
          <w:p w14:paraId="438C9511" w14:textId="00D24BAB" w:rsidR="00D751C9" w:rsidRPr="00D751C9" w:rsidRDefault="00D751C9" w:rsidP="00D751C9">
            <w:pPr>
              <w:spacing w:before="24"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10 (48%) of 21;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 xml:space="preserve">13 (65%) of 20;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 xml:space="preserve">ound </w:t>
            </w:r>
            <w:r w:rsidR="00CB2685">
              <w:rPr>
                <w:rFonts w:ascii="Arial Narrow" w:eastAsia="Arial" w:hAnsi="Arial Narrow" w:cs="Arial"/>
                <w:sz w:val="14"/>
                <w:lang w:val="en-GB" w:eastAsia="en-GB" w:bidi="en-GB"/>
              </w:rPr>
              <w:t>3</w:t>
            </w:r>
            <w:r w:rsidR="00CB2685" w:rsidRPr="00D751C9">
              <w:rPr>
                <w:rFonts w:ascii="Arial Narrow" w:eastAsia="Arial" w:hAnsi="Arial Narrow" w:cs="Arial"/>
                <w:sz w:val="14"/>
                <w:lang w:val="en-GB" w:eastAsia="en-GB" w:bidi="en-GB"/>
              </w:rPr>
              <w:t>:</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19 (91%)</w:t>
            </w:r>
            <w:r w:rsidR="00CB2685">
              <w:rPr>
                <w:rFonts w:ascii="Arial Narrow" w:eastAsia="Arial" w:hAnsi="Arial Narrow" w:cs="Arial"/>
                <w:sz w:val="14"/>
                <w:lang w:val="en-GB" w:eastAsia="en-GB" w:bidi="en-GB"/>
              </w:rPr>
              <w:t xml:space="preserve"> of 21</w:t>
            </w:r>
          </w:p>
        </w:tc>
        <w:tc>
          <w:tcPr>
            <w:tcW w:w="122" w:type="dxa"/>
            <w:tcBorders>
              <w:left w:val="single" w:sz="2" w:space="0" w:color="006F3C"/>
            </w:tcBorders>
            <w:shd w:val="clear" w:color="auto" w:fill="F4D9DE"/>
          </w:tcPr>
          <w:p w14:paraId="033F9122"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908102E" w14:textId="77777777" w:rsidTr="00F60DD4">
        <w:trPr>
          <w:trHeight w:val="188"/>
        </w:trPr>
        <w:tc>
          <w:tcPr>
            <w:tcW w:w="116" w:type="dxa"/>
            <w:vMerge/>
            <w:tcBorders>
              <w:top w:val="nil"/>
              <w:left w:val="single" w:sz="2" w:space="0" w:color="006F3C"/>
            </w:tcBorders>
            <w:shd w:val="clear" w:color="auto" w:fill="F4D9DE"/>
          </w:tcPr>
          <w:p w14:paraId="570E65D6"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5E65AD97" w14:textId="35E1CB23" w:rsidR="00D751C9" w:rsidRPr="00D751C9" w:rsidRDefault="00D751C9" w:rsidP="00D751C9">
            <w:pPr>
              <w:spacing w:before="23"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you recommend performing a prostate cancer-targeted</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PET at biochemical recurrence, which tracer do you prefer?</w:t>
            </w:r>
          </w:p>
        </w:tc>
        <w:tc>
          <w:tcPr>
            <w:tcW w:w="3312" w:type="dxa"/>
            <w:shd w:val="clear" w:color="auto" w:fill="F4D9DE"/>
            <w:tcMar>
              <w:top w:w="57" w:type="dxa"/>
              <w:left w:w="57" w:type="dxa"/>
              <w:bottom w:w="57" w:type="dxa"/>
              <w:right w:w="57" w:type="dxa"/>
            </w:tcMar>
          </w:tcPr>
          <w:p w14:paraId="7DC15471" w14:textId="07F503D3" w:rsidR="00D751C9" w:rsidRPr="00D751C9" w:rsidRDefault="00D751C9" w:rsidP="00D751C9">
            <w:pPr>
              <w:spacing w:before="23"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PSMA is the preferred tracer if prostate cancer-targeted PET</w:t>
            </w:r>
            <w:r w:rsidR="00F60DD4">
              <w:rPr>
                <w:rFonts w:ascii="Arial Narrow" w:eastAsia="Arial" w:hAnsi="Arial Narrow" w:cs="Arial"/>
                <w:sz w:val="14"/>
                <w:lang w:val="en-GB" w:eastAsia="en-GB" w:bidi="en-GB"/>
              </w:rPr>
              <w:t xml:space="preserve"> </w:t>
            </w:r>
            <w:r w:rsidR="00F60DD4" w:rsidRPr="00D751C9">
              <w:rPr>
                <w:rFonts w:ascii="Arial Narrow" w:eastAsia="Arial" w:hAnsi="Arial Narrow" w:cs="Arial"/>
                <w:sz w:val="14"/>
                <w:lang w:val="en-GB" w:eastAsia="en-GB" w:bidi="en-GB"/>
              </w:rPr>
              <w:t>is performed at biochemical recurrence</w:t>
            </w:r>
          </w:p>
        </w:tc>
        <w:tc>
          <w:tcPr>
            <w:tcW w:w="1956" w:type="dxa"/>
            <w:tcBorders>
              <w:right w:val="single" w:sz="2" w:space="0" w:color="006F3C"/>
            </w:tcBorders>
            <w:shd w:val="clear" w:color="auto" w:fill="F4D9DE"/>
            <w:tcMar>
              <w:top w:w="57" w:type="dxa"/>
              <w:left w:w="57" w:type="dxa"/>
              <w:bottom w:w="57" w:type="dxa"/>
              <w:right w:w="57" w:type="dxa"/>
            </w:tcMar>
          </w:tcPr>
          <w:p w14:paraId="7CD1640A" w14:textId="77777777" w:rsidR="00D751C9" w:rsidRPr="00D751C9" w:rsidRDefault="00D751C9" w:rsidP="00D751C9">
            <w:pPr>
              <w:spacing w:before="23"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Round 1: 20 (91%) of 22</w:t>
            </w:r>
          </w:p>
        </w:tc>
        <w:tc>
          <w:tcPr>
            <w:tcW w:w="122" w:type="dxa"/>
            <w:tcBorders>
              <w:left w:val="single" w:sz="2" w:space="0" w:color="006F3C"/>
            </w:tcBorders>
            <w:shd w:val="clear" w:color="auto" w:fill="F4D9DE"/>
          </w:tcPr>
          <w:p w14:paraId="07F7D08B"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0D6AFEEB" w14:textId="77777777" w:rsidTr="00F60DD4">
        <w:trPr>
          <w:trHeight w:val="188"/>
        </w:trPr>
        <w:tc>
          <w:tcPr>
            <w:tcW w:w="116" w:type="dxa"/>
            <w:vMerge/>
            <w:tcBorders>
              <w:top w:val="nil"/>
              <w:left w:val="single" w:sz="2" w:space="0" w:color="006F3C"/>
            </w:tcBorders>
            <w:shd w:val="clear" w:color="auto" w:fill="F4D9DE"/>
          </w:tcPr>
          <w:p w14:paraId="3621BBD4"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472F950C" w14:textId="6DDF14C7" w:rsidR="00D751C9" w:rsidRPr="00D751C9" w:rsidRDefault="00D751C9" w:rsidP="00D751C9">
            <w:pPr>
              <w:spacing w:before="23"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you use modern imaging methods at biochemical</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recurrence, which method do you prefer as first line?</w:t>
            </w:r>
          </w:p>
        </w:tc>
        <w:tc>
          <w:tcPr>
            <w:tcW w:w="3312" w:type="dxa"/>
            <w:shd w:val="clear" w:color="auto" w:fill="FFFFFF"/>
            <w:tcMar>
              <w:top w:w="57" w:type="dxa"/>
              <w:left w:w="57" w:type="dxa"/>
              <w:bottom w:w="57" w:type="dxa"/>
              <w:right w:w="57" w:type="dxa"/>
            </w:tcMar>
          </w:tcPr>
          <w:p w14:paraId="0775CFD2" w14:textId="33658532" w:rsidR="00D751C9" w:rsidRPr="00D751C9" w:rsidRDefault="00D751C9" w:rsidP="00D751C9">
            <w:pPr>
              <w:spacing w:before="23"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modern imaging methods are used at biochemical</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recurrence, prostate cancer-targeted PET alone is the preferred first-line method</w:t>
            </w:r>
          </w:p>
        </w:tc>
        <w:tc>
          <w:tcPr>
            <w:tcW w:w="1956" w:type="dxa"/>
            <w:tcBorders>
              <w:right w:val="single" w:sz="2" w:space="0" w:color="006F3C"/>
            </w:tcBorders>
            <w:shd w:val="clear" w:color="auto" w:fill="FFFFFF"/>
            <w:tcMar>
              <w:top w:w="57" w:type="dxa"/>
              <w:left w:w="57" w:type="dxa"/>
              <w:bottom w:w="57" w:type="dxa"/>
              <w:right w:w="57" w:type="dxa"/>
            </w:tcMar>
          </w:tcPr>
          <w:p w14:paraId="4DB25254" w14:textId="1B26D557" w:rsidR="00D751C9" w:rsidRPr="00D751C9" w:rsidRDefault="00D751C9" w:rsidP="00D751C9">
            <w:pPr>
              <w:spacing w:before="23"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Round 1: 10 (45%) of 22;</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11 (52%) of 21;</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 xml:space="preserve">ound </w:t>
            </w:r>
            <w:r w:rsidR="00CB2685">
              <w:rPr>
                <w:rFonts w:ascii="Arial Narrow" w:eastAsia="Arial" w:hAnsi="Arial Narrow" w:cs="Arial"/>
                <w:sz w:val="14"/>
                <w:lang w:val="en-GB" w:eastAsia="en-GB" w:bidi="en-GB"/>
              </w:rPr>
              <w:t>3</w:t>
            </w:r>
            <w:r w:rsidR="00CB2685" w:rsidRPr="00D751C9">
              <w:rPr>
                <w:rFonts w:ascii="Arial Narrow" w:eastAsia="Arial" w:hAnsi="Arial Narrow" w:cs="Arial"/>
                <w:sz w:val="14"/>
                <w:lang w:val="en-GB" w:eastAsia="en-GB" w:bidi="en-GB"/>
              </w:rPr>
              <w:t>:</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17 (81%)</w:t>
            </w:r>
            <w:r w:rsidR="00CB2685">
              <w:rPr>
                <w:rFonts w:ascii="Arial Narrow" w:eastAsia="Arial" w:hAnsi="Arial Narrow" w:cs="Arial"/>
                <w:sz w:val="14"/>
                <w:lang w:val="en-GB" w:eastAsia="en-GB" w:bidi="en-GB"/>
              </w:rPr>
              <w:t xml:space="preserve"> of 21</w:t>
            </w:r>
          </w:p>
        </w:tc>
        <w:tc>
          <w:tcPr>
            <w:tcW w:w="122" w:type="dxa"/>
            <w:tcBorders>
              <w:left w:val="single" w:sz="2" w:space="0" w:color="006F3C"/>
            </w:tcBorders>
            <w:shd w:val="clear" w:color="auto" w:fill="F4D9DE"/>
          </w:tcPr>
          <w:p w14:paraId="4D0D2C58"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5736327E" w14:textId="77777777" w:rsidTr="00F60DD4">
        <w:trPr>
          <w:trHeight w:val="188"/>
        </w:trPr>
        <w:tc>
          <w:tcPr>
            <w:tcW w:w="116" w:type="dxa"/>
            <w:vMerge/>
            <w:tcBorders>
              <w:top w:val="nil"/>
              <w:left w:val="single" w:sz="2" w:space="0" w:color="006F3C"/>
            </w:tcBorders>
            <w:shd w:val="clear" w:color="auto" w:fill="F4D9DE"/>
          </w:tcPr>
          <w:p w14:paraId="638081D9"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54023C92" w14:textId="0ED327B2" w:rsidR="00D751C9" w:rsidRPr="00D751C9" w:rsidRDefault="00D751C9" w:rsidP="00D751C9">
            <w:pPr>
              <w:spacing w:before="23"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you perform modern imaging methods at biochemical</w:t>
            </w:r>
            <w:r w:rsidR="00CB2685" w:rsidRPr="00D751C9">
              <w:rPr>
                <w:rFonts w:ascii="Arial Narrow" w:eastAsia="Arial" w:hAnsi="Arial Narrow" w:cs="Arial"/>
                <w:sz w:val="14"/>
                <w:lang w:val="en-GB" w:eastAsia="en-GB" w:bidi="en-GB"/>
              </w:rPr>
              <w:t xml:space="preserve"> recurrence, do you need confirmation for positive findings?</w:t>
            </w:r>
          </w:p>
        </w:tc>
        <w:tc>
          <w:tcPr>
            <w:tcW w:w="3312" w:type="dxa"/>
            <w:shd w:val="clear" w:color="auto" w:fill="F4D9DE"/>
            <w:tcMar>
              <w:top w:w="57" w:type="dxa"/>
              <w:left w:w="57" w:type="dxa"/>
              <w:bottom w:w="57" w:type="dxa"/>
              <w:right w:w="57" w:type="dxa"/>
            </w:tcMar>
          </w:tcPr>
          <w:p w14:paraId="74DA859A" w14:textId="41432EF6" w:rsidR="00D751C9" w:rsidRPr="00D751C9" w:rsidRDefault="00D751C9" w:rsidP="00D751C9">
            <w:pPr>
              <w:spacing w:before="23"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If modern imaging methods are performed at biochemical</w:t>
            </w:r>
            <w:r w:rsidR="00CB2685" w:rsidRPr="00D751C9">
              <w:rPr>
                <w:rFonts w:ascii="Arial Narrow" w:eastAsia="Arial" w:hAnsi="Arial Narrow" w:cs="Arial"/>
                <w:sz w:val="14"/>
                <w:lang w:val="en-GB" w:eastAsia="en-GB" w:bidi="en-GB"/>
              </w:rPr>
              <w:t xml:space="preserve"> recurrence, then confirmation of positive findings is needed</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only in highly selected cases and with a biopsy when</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findings are equivocal</w:t>
            </w:r>
          </w:p>
        </w:tc>
        <w:tc>
          <w:tcPr>
            <w:tcW w:w="1956" w:type="dxa"/>
            <w:tcBorders>
              <w:right w:val="single" w:sz="2" w:space="0" w:color="006F3C"/>
            </w:tcBorders>
            <w:shd w:val="clear" w:color="auto" w:fill="F4D9DE"/>
            <w:tcMar>
              <w:top w:w="57" w:type="dxa"/>
              <w:left w:w="57" w:type="dxa"/>
              <w:bottom w:w="57" w:type="dxa"/>
              <w:right w:w="57" w:type="dxa"/>
            </w:tcMar>
          </w:tcPr>
          <w:p w14:paraId="7E44599B" w14:textId="5B549BF0" w:rsidR="00D751C9" w:rsidRPr="00D751C9" w:rsidRDefault="00D751C9" w:rsidP="00D751C9">
            <w:pPr>
              <w:spacing w:before="23"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13 (59%) of 22;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18 (86%) of 21</w:t>
            </w:r>
          </w:p>
        </w:tc>
        <w:tc>
          <w:tcPr>
            <w:tcW w:w="122" w:type="dxa"/>
            <w:tcBorders>
              <w:left w:val="single" w:sz="2" w:space="0" w:color="006F3C"/>
            </w:tcBorders>
            <w:shd w:val="clear" w:color="auto" w:fill="F4D9DE"/>
          </w:tcPr>
          <w:p w14:paraId="1F2E8878"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49E45B13" w14:textId="77777777" w:rsidTr="00F60DD4">
        <w:trPr>
          <w:trHeight w:val="187"/>
        </w:trPr>
        <w:tc>
          <w:tcPr>
            <w:tcW w:w="116" w:type="dxa"/>
            <w:vMerge/>
            <w:tcBorders>
              <w:top w:val="nil"/>
              <w:left w:val="single" w:sz="2" w:space="0" w:color="006F3C"/>
            </w:tcBorders>
            <w:shd w:val="clear" w:color="auto" w:fill="F4D9DE"/>
          </w:tcPr>
          <w:p w14:paraId="3B59453E" w14:textId="77777777" w:rsidR="00D751C9" w:rsidRPr="00D751C9" w:rsidRDefault="00D751C9" w:rsidP="00D751C9">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6AC2391B" w14:textId="16108CDE" w:rsidR="00D751C9" w:rsidRPr="00D751C9" w:rsidRDefault="00D751C9" w:rsidP="00D751C9">
            <w:pPr>
              <w:spacing w:before="23" w:line="144"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Which patients with advanced prostate cancer and</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castration-naive prostate cancer should be studied with imaging?</w:t>
            </w:r>
          </w:p>
        </w:tc>
        <w:tc>
          <w:tcPr>
            <w:tcW w:w="3312" w:type="dxa"/>
            <w:shd w:val="clear" w:color="auto" w:fill="FFFFFF"/>
            <w:tcMar>
              <w:top w:w="57" w:type="dxa"/>
              <w:left w:w="57" w:type="dxa"/>
              <w:bottom w:w="57" w:type="dxa"/>
              <w:right w:w="57" w:type="dxa"/>
            </w:tcMar>
          </w:tcPr>
          <w:p w14:paraId="3815BBFE" w14:textId="0F7470C3" w:rsidR="00D751C9" w:rsidRPr="00D751C9" w:rsidRDefault="00D751C9" w:rsidP="00D751C9">
            <w:pPr>
              <w:spacing w:before="23" w:line="145" w:lineRule="exact"/>
              <w:ind w:left="5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All patients with advanced prostate cancer and</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castration-naive prostate cancer should be studied with imaging</w:t>
            </w:r>
          </w:p>
        </w:tc>
        <w:tc>
          <w:tcPr>
            <w:tcW w:w="1956" w:type="dxa"/>
            <w:tcBorders>
              <w:right w:val="single" w:sz="2" w:space="0" w:color="006F3C"/>
            </w:tcBorders>
            <w:shd w:val="clear" w:color="auto" w:fill="FFFFFF"/>
            <w:tcMar>
              <w:top w:w="57" w:type="dxa"/>
              <w:left w:w="57" w:type="dxa"/>
              <w:bottom w:w="57" w:type="dxa"/>
              <w:right w:w="57" w:type="dxa"/>
            </w:tcMar>
          </w:tcPr>
          <w:p w14:paraId="34D9CA6D" w14:textId="49F48347" w:rsidR="00D751C9" w:rsidRPr="00D751C9" w:rsidRDefault="00D751C9" w:rsidP="00D751C9">
            <w:pPr>
              <w:spacing w:before="23" w:line="145" w:lineRule="exact"/>
              <w:ind w:left="63"/>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 xml:space="preserve">Round 1: 15 (68%) of 22; </w:t>
            </w:r>
            <w:r w:rsidR="00CB2685">
              <w:rPr>
                <w:rFonts w:ascii="Arial Narrow" w:eastAsia="Arial" w:hAnsi="Arial Narrow" w:cs="Arial"/>
                <w:sz w:val="14"/>
                <w:lang w:val="en-GB" w:eastAsia="en-GB" w:bidi="en-GB"/>
              </w:rPr>
              <w:br/>
              <w:t>R</w:t>
            </w:r>
            <w:r w:rsidR="00CB2685" w:rsidRPr="00D751C9">
              <w:rPr>
                <w:rFonts w:ascii="Arial Narrow" w:eastAsia="Arial" w:hAnsi="Arial Narrow" w:cs="Arial"/>
                <w:sz w:val="14"/>
                <w:lang w:val="en-GB" w:eastAsia="en-GB" w:bidi="en-GB"/>
              </w:rPr>
              <w:t>ound 2:</w:t>
            </w:r>
            <w:r w:rsidR="00CB2685">
              <w:rPr>
                <w:rFonts w:ascii="Arial Narrow" w:eastAsia="Arial" w:hAnsi="Arial Narrow" w:cs="Arial"/>
                <w:sz w:val="14"/>
                <w:lang w:val="en-GB" w:eastAsia="en-GB" w:bidi="en-GB"/>
              </w:rPr>
              <w:t xml:space="preserve"> </w:t>
            </w:r>
            <w:r w:rsidR="00CB2685" w:rsidRPr="00D751C9">
              <w:rPr>
                <w:rFonts w:ascii="Arial Narrow" w:eastAsia="Arial" w:hAnsi="Arial Narrow" w:cs="Arial"/>
                <w:sz w:val="14"/>
                <w:lang w:val="en-GB" w:eastAsia="en-GB" w:bidi="en-GB"/>
              </w:rPr>
              <w:t>18 (82%) of 22</w:t>
            </w:r>
          </w:p>
        </w:tc>
        <w:tc>
          <w:tcPr>
            <w:tcW w:w="122" w:type="dxa"/>
            <w:tcBorders>
              <w:left w:val="single" w:sz="2" w:space="0" w:color="006F3C"/>
            </w:tcBorders>
            <w:shd w:val="clear" w:color="auto" w:fill="F4D9DE"/>
          </w:tcPr>
          <w:p w14:paraId="2237988F" w14:textId="77777777" w:rsidR="00D751C9" w:rsidRPr="00D751C9" w:rsidRDefault="00D751C9" w:rsidP="00D751C9">
            <w:pPr>
              <w:rPr>
                <w:rFonts w:ascii="Times New Roman" w:eastAsia="Arial" w:hAnsi="Arial" w:cs="Arial"/>
                <w:sz w:val="12"/>
                <w:lang w:val="en-GB" w:eastAsia="en-GB" w:bidi="en-GB"/>
              </w:rPr>
            </w:pPr>
          </w:p>
        </w:tc>
      </w:tr>
      <w:tr w:rsidR="00D751C9" w:rsidRPr="00D751C9" w14:paraId="0E778416" w14:textId="77777777" w:rsidTr="00D751C9">
        <w:trPr>
          <w:trHeight w:val="339"/>
        </w:trPr>
        <w:tc>
          <w:tcPr>
            <w:tcW w:w="116" w:type="dxa"/>
            <w:tcBorders>
              <w:left w:val="single" w:sz="2" w:space="0" w:color="006F3C"/>
              <w:bottom w:val="single" w:sz="2" w:space="0" w:color="006F3C"/>
            </w:tcBorders>
            <w:shd w:val="clear" w:color="auto" w:fill="F4D9DE"/>
          </w:tcPr>
          <w:p w14:paraId="34E8912D" w14:textId="77777777" w:rsidR="00D751C9" w:rsidRPr="00D751C9" w:rsidRDefault="00D751C9" w:rsidP="00D751C9">
            <w:pPr>
              <w:rPr>
                <w:rFonts w:ascii="Times New Roman" w:eastAsia="Arial" w:hAnsi="Arial" w:cs="Arial"/>
                <w:sz w:val="14"/>
                <w:lang w:val="en-GB" w:eastAsia="en-GB" w:bidi="en-GB"/>
              </w:rPr>
            </w:pPr>
          </w:p>
        </w:tc>
        <w:tc>
          <w:tcPr>
            <w:tcW w:w="3283" w:type="dxa"/>
            <w:tcBorders>
              <w:bottom w:val="single" w:sz="2" w:space="0" w:color="006F3C"/>
            </w:tcBorders>
            <w:shd w:val="clear" w:color="auto" w:fill="F4D9DE"/>
          </w:tcPr>
          <w:p w14:paraId="59163C7E" w14:textId="77777777" w:rsidR="00D751C9" w:rsidRPr="00D751C9" w:rsidRDefault="00D751C9" w:rsidP="00D751C9">
            <w:pPr>
              <w:rPr>
                <w:rFonts w:ascii="Arial Narrow" w:eastAsia="Arial" w:hAnsi="Arial Narrow" w:cs="Arial"/>
                <w:sz w:val="14"/>
                <w:lang w:val="en-GB" w:eastAsia="en-GB" w:bidi="en-GB"/>
              </w:rPr>
            </w:pPr>
          </w:p>
        </w:tc>
        <w:tc>
          <w:tcPr>
            <w:tcW w:w="3312" w:type="dxa"/>
            <w:tcBorders>
              <w:bottom w:val="single" w:sz="2" w:space="0" w:color="006F3C"/>
            </w:tcBorders>
            <w:shd w:val="clear" w:color="auto" w:fill="F4D9DE"/>
          </w:tcPr>
          <w:p w14:paraId="451BA31C" w14:textId="77777777" w:rsidR="00D751C9" w:rsidRPr="00D751C9" w:rsidRDefault="00D751C9" w:rsidP="00D751C9">
            <w:pPr>
              <w:rPr>
                <w:rFonts w:ascii="Arial Narrow" w:eastAsia="Arial" w:hAnsi="Arial Narrow" w:cs="Arial"/>
                <w:sz w:val="14"/>
                <w:lang w:val="en-GB" w:eastAsia="en-GB" w:bidi="en-GB"/>
              </w:rPr>
            </w:pPr>
          </w:p>
        </w:tc>
        <w:tc>
          <w:tcPr>
            <w:tcW w:w="1956" w:type="dxa"/>
            <w:tcBorders>
              <w:bottom w:val="single" w:sz="2" w:space="0" w:color="006F3C"/>
              <w:right w:val="single" w:sz="2" w:space="0" w:color="006F3C"/>
            </w:tcBorders>
            <w:shd w:val="clear" w:color="auto" w:fill="F4D9DE"/>
          </w:tcPr>
          <w:p w14:paraId="504D543E" w14:textId="77777777" w:rsidR="00D751C9" w:rsidRPr="00D751C9" w:rsidRDefault="00D751C9" w:rsidP="00D751C9">
            <w:pPr>
              <w:spacing w:before="23"/>
              <w:ind w:left="249"/>
              <w:rPr>
                <w:rFonts w:ascii="Arial Narrow" w:eastAsia="Arial" w:hAnsi="Arial Narrow" w:cs="Arial"/>
                <w:sz w:val="14"/>
                <w:lang w:val="en-GB" w:eastAsia="en-GB" w:bidi="en-GB"/>
              </w:rPr>
            </w:pPr>
            <w:r w:rsidRPr="00D751C9">
              <w:rPr>
                <w:rFonts w:ascii="Arial Narrow" w:eastAsia="Arial" w:hAnsi="Arial Narrow" w:cs="Arial"/>
                <w:sz w:val="14"/>
                <w:lang w:val="en-GB" w:eastAsia="en-GB" w:bidi="en-GB"/>
              </w:rPr>
              <w:t>(Table continues on next page)</w:t>
            </w:r>
          </w:p>
        </w:tc>
        <w:tc>
          <w:tcPr>
            <w:tcW w:w="122" w:type="dxa"/>
            <w:tcBorders>
              <w:left w:val="single" w:sz="2" w:space="0" w:color="006F3C"/>
              <w:bottom w:val="single" w:sz="2" w:space="0" w:color="006F3C"/>
            </w:tcBorders>
            <w:shd w:val="clear" w:color="auto" w:fill="F4D9DE"/>
          </w:tcPr>
          <w:p w14:paraId="41A5BE04" w14:textId="77777777" w:rsidR="00D751C9" w:rsidRPr="00D751C9" w:rsidRDefault="00D751C9" w:rsidP="00D751C9">
            <w:pPr>
              <w:rPr>
                <w:rFonts w:ascii="Times New Roman" w:eastAsia="Arial" w:hAnsi="Arial" w:cs="Arial"/>
                <w:sz w:val="14"/>
                <w:lang w:val="en-GB" w:eastAsia="en-GB" w:bidi="en-GB"/>
              </w:rPr>
            </w:pPr>
          </w:p>
        </w:tc>
      </w:tr>
    </w:tbl>
    <w:p w14:paraId="1304A711" w14:textId="77777777" w:rsidR="00D751C9" w:rsidRDefault="00D751C9">
      <w:pPr>
        <w:sectPr w:rsidR="00D751C9" w:rsidSect="00D751C9">
          <w:type w:val="continuous"/>
          <w:pgSz w:w="11910" w:h="16840"/>
          <w:pgMar w:top="2835" w:right="1701" w:bottom="816" w:left="1418" w:header="720" w:footer="11" w:gutter="0"/>
          <w:cols w:space="291"/>
        </w:sectPr>
      </w:pPr>
    </w:p>
    <w:p w14:paraId="53726305" w14:textId="0444768F" w:rsidR="00F60DD4" w:rsidRDefault="00F60DD4"/>
    <w:p w14:paraId="5184FE00" w14:textId="77777777" w:rsidR="00F60DD4" w:rsidRDefault="00F60DD4"/>
    <w:tbl>
      <w:tblPr>
        <w:tblStyle w:val="TableNormal1"/>
        <w:tblW w:w="8789" w:type="dxa"/>
        <w:tblInd w:w="-3" w:type="dxa"/>
        <w:tblLayout w:type="fixed"/>
        <w:tblLook w:val="01E0" w:firstRow="1" w:lastRow="1" w:firstColumn="1" w:lastColumn="1" w:noHBand="0" w:noVBand="0"/>
      </w:tblPr>
      <w:tblGrid>
        <w:gridCol w:w="116"/>
        <w:gridCol w:w="3283"/>
        <w:gridCol w:w="3312"/>
        <w:gridCol w:w="1956"/>
        <w:gridCol w:w="122"/>
      </w:tblGrid>
      <w:tr w:rsidR="00F60DD4" w:rsidRPr="00D751C9" w14:paraId="5D87CBB6" w14:textId="77777777" w:rsidTr="00F60DD4">
        <w:trPr>
          <w:trHeight w:val="325"/>
        </w:trPr>
        <w:tc>
          <w:tcPr>
            <w:tcW w:w="116" w:type="dxa"/>
            <w:vMerge w:val="restart"/>
            <w:tcBorders>
              <w:top w:val="single" w:sz="2" w:space="0" w:color="006F3C"/>
              <w:left w:val="single" w:sz="2" w:space="0" w:color="006F3C"/>
            </w:tcBorders>
            <w:shd w:val="clear" w:color="auto" w:fill="F4D9DE"/>
          </w:tcPr>
          <w:p w14:paraId="664D9A05" w14:textId="77777777" w:rsidR="00F60DD4" w:rsidRPr="00D751C9" w:rsidRDefault="00F60DD4" w:rsidP="00F60DD4">
            <w:pPr>
              <w:rPr>
                <w:rFonts w:ascii="Times New Roman" w:eastAsia="Arial" w:hAnsi="Arial" w:cs="Arial"/>
                <w:sz w:val="14"/>
                <w:lang w:val="en-GB" w:eastAsia="en-GB" w:bidi="en-GB"/>
              </w:rPr>
            </w:pPr>
          </w:p>
        </w:tc>
        <w:tc>
          <w:tcPr>
            <w:tcW w:w="3283" w:type="dxa"/>
            <w:tcBorders>
              <w:top w:val="single" w:sz="2" w:space="0" w:color="006F3C"/>
              <w:bottom w:val="single" w:sz="2" w:space="0" w:color="000000"/>
            </w:tcBorders>
            <w:shd w:val="clear" w:color="auto" w:fill="F4D9DE"/>
          </w:tcPr>
          <w:p w14:paraId="4A1A9E89" w14:textId="26BE6A5B" w:rsidR="00F60DD4" w:rsidRPr="00D751C9" w:rsidRDefault="00E8013F" w:rsidP="00F60DD4">
            <w:pPr>
              <w:rPr>
                <w:rFonts w:ascii="Times New Roman" w:eastAsia="Arial" w:hAnsi="Arial" w:cs="Arial"/>
                <w:sz w:val="14"/>
                <w:lang w:val="en-GB" w:eastAsia="en-GB" w:bidi="en-GB"/>
              </w:rPr>
            </w:pPr>
            <w:r>
              <w:rPr>
                <w:rFonts w:ascii="Arial Narrow" w:eastAsia="Arial" w:hAnsi="Arial Narrow" w:cs="Arial"/>
                <w:sz w:val="14"/>
                <w:lang w:val="en-GB" w:eastAsia="en-GB" w:bidi="en-GB"/>
              </w:rPr>
              <w:t>(</w:t>
            </w:r>
            <w:r w:rsidRPr="00E8013F">
              <w:rPr>
                <w:rFonts w:ascii="Arial Narrow" w:eastAsia="Arial" w:hAnsi="Arial Narrow" w:cs="Arial"/>
                <w:sz w:val="14"/>
                <w:lang w:val="en-GB" w:eastAsia="en-GB" w:bidi="en-GB"/>
              </w:rPr>
              <w:t>Continued from previous page</w:t>
            </w:r>
            <w:r>
              <w:rPr>
                <w:rFonts w:ascii="Arial Narrow" w:eastAsia="Arial" w:hAnsi="Arial Narrow" w:cs="Arial"/>
                <w:sz w:val="14"/>
                <w:lang w:val="en-GB" w:eastAsia="en-GB" w:bidi="en-GB"/>
              </w:rPr>
              <w:t>)</w:t>
            </w:r>
          </w:p>
        </w:tc>
        <w:tc>
          <w:tcPr>
            <w:tcW w:w="3312" w:type="dxa"/>
            <w:tcBorders>
              <w:top w:val="single" w:sz="2" w:space="0" w:color="006F3C"/>
              <w:bottom w:val="single" w:sz="2" w:space="0" w:color="000000"/>
            </w:tcBorders>
            <w:shd w:val="clear" w:color="auto" w:fill="F4D9DE"/>
          </w:tcPr>
          <w:p w14:paraId="7A40DD1C" w14:textId="77777777" w:rsidR="00F60DD4" w:rsidRPr="00D751C9" w:rsidRDefault="00F60DD4" w:rsidP="00F60DD4">
            <w:pPr>
              <w:spacing w:before="105"/>
              <w:ind w:left="59"/>
              <w:rPr>
                <w:rFonts w:ascii="Arial" w:eastAsia="Arial" w:hAnsi="Arial" w:cs="Arial"/>
                <w:b/>
                <w:sz w:val="14"/>
                <w:lang w:val="en-GB" w:eastAsia="en-GB" w:bidi="en-GB"/>
              </w:rPr>
            </w:pPr>
            <w:r>
              <w:rPr>
                <w:rFonts w:ascii="Arial" w:eastAsia="Arial" w:hAnsi="Arial" w:cs="Arial"/>
                <w:b/>
                <w:w w:val="90"/>
                <w:sz w:val="14"/>
                <w:lang w:val="en-GB" w:eastAsia="en-GB" w:bidi="en-GB"/>
              </w:rPr>
              <w:t xml:space="preserve">  </w:t>
            </w:r>
            <w:r w:rsidRPr="00D751C9">
              <w:rPr>
                <w:rFonts w:ascii="Arial" w:eastAsia="Arial" w:hAnsi="Arial" w:cs="Arial"/>
                <w:b/>
                <w:w w:val="90"/>
                <w:sz w:val="14"/>
                <w:lang w:val="en-GB" w:eastAsia="en-GB" w:bidi="en-GB"/>
              </w:rPr>
              <w:t>Response</w:t>
            </w:r>
          </w:p>
        </w:tc>
        <w:tc>
          <w:tcPr>
            <w:tcW w:w="1956" w:type="dxa"/>
            <w:tcBorders>
              <w:top w:val="single" w:sz="2" w:space="0" w:color="006F3C"/>
              <w:bottom w:val="single" w:sz="2" w:space="0" w:color="000000"/>
              <w:right w:val="single" w:sz="2" w:space="0" w:color="006F3C"/>
            </w:tcBorders>
            <w:shd w:val="clear" w:color="auto" w:fill="F4D9DE"/>
          </w:tcPr>
          <w:p w14:paraId="256F783B" w14:textId="77777777" w:rsidR="00F60DD4" w:rsidRPr="00D751C9" w:rsidRDefault="00F60DD4" w:rsidP="00F60DD4">
            <w:pPr>
              <w:spacing w:before="105"/>
              <w:ind w:left="63"/>
              <w:rPr>
                <w:rFonts w:ascii="Arial" w:eastAsia="Arial" w:hAnsi="Arial" w:cs="Arial"/>
                <w:b/>
                <w:sz w:val="14"/>
                <w:lang w:val="en-GB" w:eastAsia="en-GB" w:bidi="en-GB"/>
              </w:rPr>
            </w:pPr>
            <w:r>
              <w:rPr>
                <w:rFonts w:ascii="Arial" w:eastAsia="Arial" w:hAnsi="Arial" w:cs="Arial"/>
                <w:b/>
                <w:w w:val="90"/>
                <w:sz w:val="14"/>
                <w:lang w:val="en-GB" w:eastAsia="en-GB" w:bidi="en-GB"/>
              </w:rPr>
              <w:t xml:space="preserve"> </w:t>
            </w:r>
            <w:r w:rsidRPr="00D751C9">
              <w:rPr>
                <w:rFonts w:ascii="Arial" w:eastAsia="Arial" w:hAnsi="Arial" w:cs="Arial"/>
                <w:b/>
                <w:w w:val="90"/>
                <w:sz w:val="14"/>
                <w:lang w:val="en-GB" w:eastAsia="en-GB" w:bidi="en-GB"/>
              </w:rPr>
              <w:t>Consensus</w:t>
            </w:r>
          </w:p>
        </w:tc>
        <w:tc>
          <w:tcPr>
            <w:tcW w:w="122" w:type="dxa"/>
            <w:tcBorders>
              <w:top w:val="single" w:sz="2" w:space="0" w:color="006F3C"/>
              <w:left w:val="single" w:sz="2" w:space="0" w:color="006F3C"/>
            </w:tcBorders>
            <w:shd w:val="clear" w:color="auto" w:fill="F4D9DE"/>
          </w:tcPr>
          <w:p w14:paraId="4064290E" w14:textId="77777777" w:rsidR="00F60DD4" w:rsidRPr="00D751C9" w:rsidRDefault="00F60DD4" w:rsidP="00F60DD4">
            <w:pPr>
              <w:rPr>
                <w:rFonts w:ascii="Times New Roman" w:eastAsia="Arial" w:hAnsi="Arial" w:cs="Arial"/>
                <w:sz w:val="14"/>
                <w:lang w:val="en-GB" w:eastAsia="en-GB" w:bidi="en-GB"/>
              </w:rPr>
            </w:pPr>
          </w:p>
        </w:tc>
      </w:tr>
      <w:tr w:rsidR="00F60DD4" w:rsidRPr="00D751C9" w14:paraId="59725536" w14:textId="77777777" w:rsidTr="00F60DD4">
        <w:trPr>
          <w:trHeight w:val="211"/>
        </w:trPr>
        <w:tc>
          <w:tcPr>
            <w:tcW w:w="116" w:type="dxa"/>
            <w:vMerge/>
            <w:tcBorders>
              <w:top w:val="nil"/>
              <w:left w:val="single" w:sz="2" w:space="0" w:color="006F3C"/>
            </w:tcBorders>
            <w:shd w:val="clear" w:color="auto" w:fill="F4D9DE"/>
          </w:tcPr>
          <w:p w14:paraId="3D9EE5DA" w14:textId="77777777" w:rsidR="00F60DD4" w:rsidRPr="00D751C9" w:rsidRDefault="00F60DD4" w:rsidP="00F60DD4">
            <w:pPr>
              <w:rPr>
                <w:rFonts w:ascii="Georgia" w:eastAsia="Georgia" w:hAnsi="Georgia" w:cs="Georgia"/>
                <w:sz w:val="2"/>
                <w:szCs w:val="2"/>
                <w:lang w:val="en-GB" w:eastAsia="en-GB" w:bidi="en-GB"/>
              </w:rPr>
            </w:pPr>
          </w:p>
        </w:tc>
        <w:tc>
          <w:tcPr>
            <w:tcW w:w="3283" w:type="dxa"/>
            <w:tcBorders>
              <w:top w:val="single" w:sz="2" w:space="0" w:color="000000"/>
            </w:tcBorders>
            <w:shd w:val="clear" w:color="auto" w:fill="F4D9DE"/>
            <w:tcMar>
              <w:top w:w="57" w:type="dxa"/>
              <w:left w:w="57" w:type="dxa"/>
              <w:bottom w:w="57" w:type="dxa"/>
              <w:right w:w="57" w:type="dxa"/>
            </w:tcMar>
          </w:tcPr>
          <w:p w14:paraId="13E4A2C8" w14:textId="496F994F" w:rsidR="00F60DD4" w:rsidRPr="00D751C9" w:rsidRDefault="00F60DD4" w:rsidP="00F60DD4">
            <w:pPr>
              <w:spacing w:before="46" w:line="145" w:lineRule="exact"/>
              <w:ind w:left="59"/>
              <w:rPr>
                <w:rFonts w:ascii="Arial Narrow" w:eastAsia="Arial" w:hAnsi="Arial Narrow" w:cs="Arial"/>
                <w:sz w:val="14"/>
                <w:lang w:val="en-GB" w:eastAsia="en-GB" w:bidi="en-GB"/>
              </w:rPr>
            </w:pPr>
            <w:r w:rsidRPr="00F60DD4">
              <w:rPr>
                <w:rFonts w:ascii="Arial Narrow" w:eastAsia="Arial" w:hAnsi="Arial Narrow" w:cs="Arial"/>
                <w:sz w:val="14"/>
                <w:lang w:val="en-GB" w:eastAsia="en-GB" w:bidi="en-GB"/>
              </w:rPr>
              <w:t>Which patients with advanced prostate cancer and castration-resistant prostate cancer should be studied with imaging?</w:t>
            </w:r>
          </w:p>
        </w:tc>
        <w:tc>
          <w:tcPr>
            <w:tcW w:w="3312" w:type="dxa"/>
            <w:tcBorders>
              <w:top w:val="single" w:sz="2" w:space="0" w:color="000000"/>
            </w:tcBorders>
            <w:shd w:val="clear" w:color="auto" w:fill="F4D9DE"/>
            <w:tcMar>
              <w:top w:w="57" w:type="dxa"/>
              <w:left w:w="57" w:type="dxa"/>
              <w:bottom w:w="57" w:type="dxa"/>
              <w:right w:w="57" w:type="dxa"/>
            </w:tcMar>
          </w:tcPr>
          <w:p w14:paraId="123E5878" w14:textId="3860ECD9" w:rsidR="00F60DD4" w:rsidRPr="00F60DD4" w:rsidRDefault="00F60DD4" w:rsidP="00F60DD4">
            <w:pPr>
              <w:spacing w:before="46" w:line="145" w:lineRule="exact"/>
              <w:ind w:left="59"/>
              <w:rPr>
                <w:rFonts w:ascii="Arial Narrow" w:eastAsia="Arial" w:hAnsi="Arial Narrow" w:cs="Arial"/>
                <w:sz w:val="14"/>
                <w:lang w:val="en-GB" w:eastAsia="en-GB" w:bidi="en-GB"/>
              </w:rPr>
            </w:pPr>
            <w:r w:rsidRPr="00F60DD4">
              <w:rPr>
                <w:rFonts w:ascii="Arial Narrow" w:eastAsia="Arial" w:hAnsi="Arial Narrow" w:cs="Arial"/>
                <w:sz w:val="14"/>
                <w:lang w:val="en-GB" w:eastAsia="en-GB" w:bidi="en-GB"/>
              </w:rPr>
              <w:t>All patients with advanced prostate cancer and</w:t>
            </w:r>
            <w:r w:rsidR="00A87AD2">
              <w:rPr>
                <w:rFonts w:ascii="Arial Narrow" w:eastAsia="Arial" w:hAnsi="Arial Narrow" w:cs="Arial"/>
                <w:sz w:val="14"/>
                <w:lang w:val="en-GB" w:eastAsia="en-GB" w:bidi="en-GB"/>
              </w:rPr>
              <w:t xml:space="preserve"> </w:t>
            </w:r>
            <w:r w:rsidR="00A87AD2" w:rsidRPr="00F60DD4">
              <w:rPr>
                <w:rFonts w:ascii="Arial Narrow" w:eastAsia="Arial" w:hAnsi="Arial Narrow" w:cs="Arial"/>
                <w:sz w:val="14"/>
                <w:lang w:val="en-GB" w:eastAsia="en-GB" w:bidi="en-GB"/>
              </w:rPr>
              <w:t>castration-resistant prostate cancer should be studied with imaging</w:t>
            </w:r>
          </w:p>
          <w:p w14:paraId="45458A2E" w14:textId="78AC8D70" w:rsidR="00F60DD4" w:rsidRPr="00D751C9" w:rsidRDefault="00F60DD4" w:rsidP="00F60DD4">
            <w:pPr>
              <w:spacing w:before="46" w:line="145" w:lineRule="exact"/>
              <w:ind w:left="59"/>
              <w:rPr>
                <w:rFonts w:ascii="Arial Narrow" w:eastAsia="Arial" w:hAnsi="Arial Narrow" w:cs="Arial"/>
                <w:sz w:val="14"/>
                <w:lang w:val="en-GB" w:eastAsia="en-GB" w:bidi="en-GB"/>
              </w:rPr>
            </w:pPr>
          </w:p>
        </w:tc>
        <w:tc>
          <w:tcPr>
            <w:tcW w:w="1956" w:type="dxa"/>
            <w:tcBorders>
              <w:top w:val="single" w:sz="2" w:space="0" w:color="000000"/>
              <w:right w:val="single" w:sz="2" w:space="0" w:color="006F3C"/>
            </w:tcBorders>
            <w:shd w:val="clear" w:color="auto" w:fill="F4D9DE"/>
            <w:tcMar>
              <w:top w:w="57" w:type="dxa"/>
              <w:left w:w="57" w:type="dxa"/>
              <w:bottom w:w="57" w:type="dxa"/>
              <w:right w:w="57" w:type="dxa"/>
            </w:tcMar>
          </w:tcPr>
          <w:p w14:paraId="69691036" w14:textId="542B02FB" w:rsidR="00A87AD2" w:rsidRPr="00A87AD2" w:rsidRDefault="00A87AD2" w:rsidP="00A87AD2">
            <w:pPr>
              <w:spacing w:before="4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15 (68%)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20 (91%) of 22</w:t>
            </w:r>
          </w:p>
          <w:p w14:paraId="17D2D10B" w14:textId="46FB30B2" w:rsidR="00F60DD4" w:rsidRPr="00D751C9" w:rsidRDefault="00F60DD4" w:rsidP="00A87AD2">
            <w:pPr>
              <w:spacing w:before="46" w:line="145" w:lineRule="exact"/>
              <w:ind w:left="63"/>
              <w:rPr>
                <w:rFonts w:ascii="Arial Narrow" w:eastAsia="Arial" w:hAnsi="Arial Narrow" w:cs="Arial"/>
                <w:sz w:val="14"/>
                <w:lang w:val="en-GB" w:eastAsia="en-GB" w:bidi="en-GB"/>
              </w:rPr>
            </w:pPr>
          </w:p>
        </w:tc>
        <w:tc>
          <w:tcPr>
            <w:tcW w:w="122" w:type="dxa"/>
            <w:tcBorders>
              <w:left w:val="single" w:sz="2" w:space="0" w:color="006F3C"/>
            </w:tcBorders>
            <w:shd w:val="clear" w:color="auto" w:fill="F4D9DE"/>
          </w:tcPr>
          <w:p w14:paraId="0DAA4DAB" w14:textId="77777777" w:rsidR="00F60DD4" w:rsidRPr="00D751C9" w:rsidRDefault="00F60DD4" w:rsidP="00F60DD4">
            <w:pPr>
              <w:rPr>
                <w:rFonts w:ascii="Times New Roman" w:eastAsia="Arial" w:hAnsi="Arial" w:cs="Arial"/>
                <w:sz w:val="14"/>
                <w:lang w:val="en-GB" w:eastAsia="en-GB" w:bidi="en-GB"/>
              </w:rPr>
            </w:pPr>
          </w:p>
        </w:tc>
      </w:tr>
      <w:tr w:rsidR="00F60DD4" w:rsidRPr="00D751C9" w14:paraId="480824F3" w14:textId="77777777" w:rsidTr="00F60DD4">
        <w:trPr>
          <w:trHeight w:val="190"/>
        </w:trPr>
        <w:tc>
          <w:tcPr>
            <w:tcW w:w="116" w:type="dxa"/>
            <w:vMerge/>
            <w:tcBorders>
              <w:top w:val="nil"/>
              <w:left w:val="single" w:sz="2" w:space="0" w:color="006F3C"/>
            </w:tcBorders>
            <w:shd w:val="clear" w:color="auto" w:fill="F4D9DE"/>
          </w:tcPr>
          <w:p w14:paraId="123BEC62"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1FE8376E" w14:textId="4B97C9E9"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Which reason is most important for referring to imaging a patient with advanced prostate cancer?</w:t>
            </w:r>
          </w:p>
        </w:tc>
        <w:tc>
          <w:tcPr>
            <w:tcW w:w="3312" w:type="dxa"/>
            <w:shd w:val="clear" w:color="auto" w:fill="FFFFFF"/>
            <w:tcMar>
              <w:top w:w="57" w:type="dxa"/>
              <w:left w:w="57" w:type="dxa"/>
              <w:bottom w:w="57" w:type="dxa"/>
              <w:right w:w="57" w:type="dxa"/>
            </w:tcMar>
          </w:tcPr>
          <w:p w14:paraId="2AA349E8" w14:textId="13A4D0E6"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Identifying anatomical locations of metastatic disease, evaluating the extent or volume of local or metastatic disease, evaluating complications of local or metastatic disease, and monitoring the response to therapy are the most important reasons for referring a patient with advanced prostate cancer to imaging</w:t>
            </w:r>
          </w:p>
        </w:tc>
        <w:tc>
          <w:tcPr>
            <w:tcW w:w="1956" w:type="dxa"/>
            <w:tcBorders>
              <w:right w:val="single" w:sz="2" w:space="0" w:color="006F3C"/>
            </w:tcBorders>
            <w:shd w:val="clear" w:color="auto" w:fill="FFFFFF"/>
            <w:tcMar>
              <w:top w:w="57" w:type="dxa"/>
              <w:left w:w="57" w:type="dxa"/>
              <w:bottom w:w="57" w:type="dxa"/>
              <w:right w:w="57" w:type="dxa"/>
            </w:tcMar>
          </w:tcPr>
          <w:p w14:paraId="5557260B" w14:textId="1E5A98A3" w:rsidR="00F60DD4" w:rsidRPr="00D751C9" w:rsidRDefault="00A87AD2" w:rsidP="00A87AD2">
            <w:pPr>
              <w:spacing w:before="2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11 (50%)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19 (86%) of 22</w:t>
            </w:r>
          </w:p>
        </w:tc>
        <w:tc>
          <w:tcPr>
            <w:tcW w:w="122" w:type="dxa"/>
            <w:tcBorders>
              <w:left w:val="single" w:sz="2" w:space="0" w:color="006F3C"/>
            </w:tcBorders>
            <w:shd w:val="clear" w:color="auto" w:fill="F4D9DE"/>
          </w:tcPr>
          <w:p w14:paraId="0B5B48E5"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5300A571" w14:textId="77777777" w:rsidTr="00F60DD4">
        <w:trPr>
          <w:trHeight w:val="190"/>
        </w:trPr>
        <w:tc>
          <w:tcPr>
            <w:tcW w:w="116" w:type="dxa"/>
            <w:vMerge/>
            <w:tcBorders>
              <w:top w:val="nil"/>
              <w:left w:val="single" w:sz="2" w:space="0" w:color="006F3C"/>
            </w:tcBorders>
            <w:shd w:val="clear" w:color="auto" w:fill="F4D9DE"/>
          </w:tcPr>
          <w:p w14:paraId="7B7E5B1C"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397A4366" w14:textId="33F49B97" w:rsidR="00F60DD4" w:rsidRPr="00A87AD2" w:rsidRDefault="00A87AD2" w:rsidP="00F60DD4">
            <w:pPr>
              <w:spacing w:before="26" w:line="145" w:lineRule="exact"/>
              <w:ind w:left="59"/>
              <w:rPr>
                <w:rFonts w:ascii="Arial Narrow" w:eastAsia="Arial" w:hAnsi="Arial Narrow" w:cs="Arial"/>
                <w:sz w:val="14"/>
                <w:lang w:eastAsia="en-GB" w:bidi="en-GB"/>
              </w:rPr>
            </w:pPr>
            <w:r w:rsidRPr="00A87AD2">
              <w:rPr>
                <w:rFonts w:ascii="Arial Narrow" w:eastAsia="Arial" w:hAnsi="Arial Narrow" w:cs="Arial"/>
                <w:sz w:val="14"/>
                <w:lang w:val="en-GB" w:eastAsia="en-GB" w:bidi="en-GB"/>
              </w:rPr>
              <w:t>Do you consider bone scintigraphy necessary in patients with advanced prostate cancer?</w:t>
            </w:r>
          </w:p>
        </w:tc>
        <w:tc>
          <w:tcPr>
            <w:tcW w:w="3312" w:type="dxa"/>
            <w:shd w:val="clear" w:color="auto" w:fill="F4D9DE"/>
            <w:tcMar>
              <w:top w:w="57" w:type="dxa"/>
              <w:left w:w="57" w:type="dxa"/>
              <w:bottom w:w="57" w:type="dxa"/>
              <w:right w:w="57" w:type="dxa"/>
            </w:tcMar>
          </w:tcPr>
          <w:p w14:paraId="22786E35" w14:textId="3CA0A049"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Bone scintigraphy is considered necessary in the majority of patients with advanced prostate cancer</w:t>
            </w:r>
          </w:p>
        </w:tc>
        <w:tc>
          <w:tcPr>
            <w:tcW w:w="1956" w:type="dxa"/>
            <w:tcBorders>
              <w:right w:val="single" w:sz="2" w:space="0" w:color="006F3C"/>
            </w:tcBorders>
            <w:shd w:val="clear" w:color="auto" w:fill="F4D9DE"/>
            <w:tcMar>
              <w:top w:w="57" w:type="dxa"/>
              <w:left w:w="57" w:type="dxa"/>
              <w:bottom w:w="57" w:type="dxa"/>
              <w:right w:w="57" w:type="dxa"/>
            </w:tcMar>
          </w:tcPr>
          <w:p w14:paraId="0128AC0B" w14:textId="4247C1A3" w:rsidR="00F60DD4" w:rsidRPr="00D751C9" w:rsidRDefault="00A87AD2" w:rsidP="00A87AD2">
            <w:pPr>
              <w:spacing w:before="2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11 (50%)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 xml:space="preserve">13 (59%)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3: 16 (76%)</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of 21</w:t>
            </w:r>
          </w:p>
        </w:tc>
        <w:tc>
          <w:tcPr>
            <w:tcW w:w="122" w:type="dxa"/>
            <w:tcBorders>
              <w:left w:val="single" w:sz="2" w:space="0" w:color="006F3C"/>
            </w:tcBorders>
            <w:shd w:val="clear" w:color="auto" w:fill="F4D9DE"/>
          </w:tcPr>
          <w:p w14:paraId="105CCBBC"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0E0D0C66" w14:textId="77777777" w:rsidTr="00F60DD4">
        <w:trPr>
          <w:trHeight w:val="190"/>
        </w:trPr>
        <w:tc>
          <w:tcPr>
            <w:tcW w:w="116" w:type="dxa"/>
            <w:vMerge/>
            <w:tcBorders>
              <w:top w:val="nil"/>
              <w:left w:val="single" w:sz="2" w:space="0" w:color="006F3C"/>
            </w:tcBorders>
            <w:shd w:val="clear" w:color="auto" w:fill="F4D9DE"/>
          </w:tcPr>
          <w:p w14:paraId="7C93C4F7"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4BF822BA" w14:textId="788CB4D6"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Do you consider CT necessary in patients with advanced prostate cancer?</w:t>
            </w:r>
          </w:p>
        </w:tc>
        <w:tc>
          <w:tcPr>
            <w:tcW w:w="3312" w:type="dxa"/>
            <w:shd w:val="clear" w:color="auto" w:fill="FFFFFF"/>
            <w:tcMar>
              <w:top w:w="57" w:type="dxa"/>
              <w:left w:w="57" w:type="dxa"/>
              <w:bottom w:w="57" w:type="dxa"/>
              <w:right w:w="57" w:type="dxa"/>
            </w:tcMar>
          </w:tcPr>
          <w:p w14:paraId="09592219" w14:textId="4C8902FE"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CT is considered necessary in the majority of patients with advanced prostate cancer</w:t>
            </w:r>
          </w:p>
        </w:tc>
        <w:tc>
          <w:tcPr>
            <w:tcW w:w="1956" w:type="dxa"/>
            <w:tcBorders>
              <w:right w:val="single" w:sz="2" w:space="0" w:color="006F3C"/>
            </w:tcBorders>
            <w:shd w:val="clear" w:color="auto" w:fill="FFFFFF"/>
            <w:tcMar>
              <w:top w:w="57" w:type="dxa"/>
              <w:left w:w="57" w:type="dxa"/>
              <w:bottom w:w="57" w:type="dxa"/>
              <w:right w:w="57" w:type="dxa"/>
            </w:tcMar>
          </w:tcPr>
          <w:p w14:paraId="3B7DDB78" w14:textId="23C33BE5" w:rsidR="00F60DD4" w:rsidRPr="00D751C9" w:rsidRDefault="00A87AD2" w:rsidP="00A87AD2">
            <w:pPr>
              <w:spacing w:before="2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12 (55%)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 xml:space="preserve">15 (68%)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3: 18 (86%)</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of 21</w:t>
            </w:r>
          </w:p>
        </w:tc>
        <w:tc>
          <w:tcPr>
            <w:tcW w:w="122" w:type="dxa"/>
            <w:tcBorders>
              <w:left w:val="single" w:sz="2" w:space="0" w:color="006F3C"/>
            </w:tcBorders>
            <w:shd w:val="clear" w:color="auto" w:fill="F4D9DE"/>
          </w:tcPr>
          <w:p w14:paraId="665961E2"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5BAEB420" w14:textId="77777777" w:rsidTr="00F60DD4">
        <w:trPr>
          <w:trHeight w:val="190"/>
        </w:trPr>
        <w:tc>
          <w:tcPr>
            <w:tcW w:w="116" w:type="dxa"/>
            <w:vMerge/>
            <w:tcBorders>
              <w:top w:val="nil"/>
              <w:left w:val="single" w:sz="2" w:space="0" w:color="006F3C"/>
            </w:tcBorders>
            <w:shd w:val="clear" w:color="auto" w:fill="F4D9DE"/>
          </w:tcPr>
          <w:p w14:paraId="25A14ABF"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37BD42E0" w14:textId="193151FC"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Do you recommend performing fluoride PET in patients with advanced prostate cancer?</w:t>
            </w:r>
          </w:p>
        </w:tc>
        <w:tc>
          <w:tcPr>
            <w:tcW w:w="3312" w:type="dxa"/>
            <w:shd w:val="clear" w:color="auto" w:fill="F4D9DE"/>
            <w:tcMar>
              <w:top w:w="57" w:type="dxa"/>
              <w:left w:w="57" w:type="dxa"/>
              <w:bottom w:w="57" w:type="dxa"/>
              <w:right w:w="57" w:type="dxa"/>
            </w:tcMar>
          </w:tcPr>
          <w:p w14:paraId="72BB5BC5" w14:textId="13EA5790"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It is not recommended performing fluoride PET in patients with advanced prostate cancer</w:t>
            </w:r>
          </w:p>
        </w:tc>
        <w:tc>
          <w:tcPr>
            <w:tcW w:w="1956" w:type="dxa"/>
            <w:tcBorders>
              <w:right w:val="single" w:sz="2" w:space="0" w:color="006F3C"/>
            </w:tcBorders>
            <w:shd w:val="clear" w:color="auto" w:fill="F4D9DE"/>
            <w:tcMar>
              <w:top w:w="57" w:type="dxa"/>
              <w:left w:w="57" w:type="dxa"/>
              <w:bottom w:w="57" w:type="dxa"/>
              <w:right w:w="57" w:type="dxa"/>
            </w:tcMar>
          </w:tcPr>
          <w:p w14:paraId="18BC90F3" w14:textId="11D2CADC" w:rsidR="00F60DD4" w:rsidRPr="00D751C9" w:rsidRDefault="00A87AD2" w:rsidP="00A87AD2">
            <w:pPr>
              <w:spacing w:before="2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13 (62%) of 21;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19 (91%) of 21</w:t>
            </w:r>
          </w:p>
        </w:tc>
        <w:tc>
          <w:tcPr>
            <w:tcW w:w="122" w:type="dxa"/>
            <w:tcBorders>
              <w:left w:val="single" w:sz="2" w:space="0" w:color="006F3C"/>
            </w:tcBorders>
            <w:shd w:val="clear" w:color="auto" w:fill="F4D9DE"/>
          </w:tcPr>
          <w:p w14:paraId="151181D6"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532B845F" w14:textId="77777777" w:rsidTr="00F60DD4">
        <w:trPr>
          <w:trHeight w:val="190"/>
        </w:trPr>
        <w:tc>
          <w:tcPr>
            <w:tcW w:w="116" w:type="dxa"/>
            <w:vMerge/>
            <w:tcBorders>
              <w:top w:val="nil"/>
              <w:left w:val="single" w:sz="2" w:space="0" w:color="006F3C"/>
            </w:tcBorders>
            <w:shd w:val="clear" w:color="auto" w:fill="F4D9DE"/>
          </w:tcPr>
          <w:p w14:paraId="5841111B"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533A1EB6" w14:textId="794EF9E6"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Do you recommend performing pelvic multiparametric MRI in patients with advanced prostate cancer?</w:t>
            </w:r>
          </w:p>
        </w:tc>
        <w:tc>
          <w:tcPr>
            <w:tcW w:w="3312" w:type="dxa"/>
            <w:shd w:val="clear" w:color="auto" w:fill="FFFFFF"/>
            <w:tcMar>
              <w:top w:w="57" w:type="dxa"/>
              <w:left w:w="57" w:type="dxa"/>
              <w:bottom w:w="57" w:type="dxa"/>
              <w:right w:w="57" w:type="dxa"/>
            </w:tcMar>
          </w:tcPr>
          <w:p w14:paraId="77B90727" w14:textId="204B2AE3" w:rsidR="00F60DD4" w:rsidRPr="00D751C9" w:rsidRDefault="00A87AD2" w:rsidP="00F60DD4">
            <w:pPr>
              <w:spacing w:before="26" w:line="145"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Performing pelvic multiparametric MRI is recommended in a minority of patients with advanced prostate cancer (based on risk and symptoms)</w:t>
            </w:r>
          </w:p>
        </w:tc>
        <w:tc>
          <w:tcPr>
            <w:tcW w:w="1956" w:type="dxa"/>
            <w:tcBorders>
              <w:right w:val="single" w:sz="2" w:space="0" w:color="006F3C"/>
            </w:tcBorders>
            <w:shd w:val="clear" w:color="auto" w:fill="FFFFFF"/>
            <w:tcMar>
              <w:top w:w="57" w:type="dxa"/>
              <w:left w:w="57" w:type="dxa"/>
              <w:bottom w:w="57" w:type="dxa"/>
              <w:right w:w="57" w:type="dxa"/>
            </w:tcMar>
          </w:tcPr>
          <w:p w14:paraId="1054579C" w14:textId="5E98820E" w:rsidR="00F60DD4" w:rsidRPr="00D751C9" w:rsidRDefault="00A87AD2" w:rsidP="00A87AD2">
            <w:pPr>
              <w:spacing w:before="26" w:line="145" w:lineRule="exact"/>
              <w:ind w:left="63"/>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 xml:space="preserve">Round 1: 11 (50%) of 22; </w:t>
            </w:r>
            <w:r>
              <w:rPr>
                <w:rFonts w:ascii="Arial Narrow" w:eastAsia="Arial" w:hAnsi="Arial Narrow" w:cs="Arial"/>
                <w:sz w:val="14"/>
                <w:lang w:val="en-GB" w:eastAsia="en-GB" w:bidi="en-GB"/>
              </w:rPr>
              <w:br/>
              <w:t>R</w:t>
            </w:r>
            <w:r w:rsidRPr="00A87AD2">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A87AD2">
              <w:rPr>
                <w:rFonts w:ascii="Arial Narrow" w:eastAsia="Arial" w:hAnsi="Arial Narrow" w:cs="Arial"/>
                <w:sz w:val="14"/>
                <w:lang w:val="en-GB" w:eastAsia="en-GB" w:bidi="en-GB"/>
              </w:rPr>
              <w:t>15 (71%) of 21</w:t>
            </w:r>
          </w:p>
        </w:tc>
        <w:tc>
          <w:tcPr>
            <w:tcW w:w="122" w:type="dxa"/>
            <w:tcBorders>
              <w:left w:val="single" w:sz="2" w:space="0" w:color="006F3C"/>
            </w:tcBorders>
            <w:shd w:val="clear" w:color="auto" w:fill="F4D9DE"/>
          </w:tcPr>
          <w:p w14:paraId="0EB1B9A4"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1922D6C3" w14:textId="77777777" w:rsidTr="00F60DD4">
        <w:trPr>
          <w:trHeight w:val="190"/>
        </w:trPr>
        <w:tc>
          <w:tcPr>
            <w:tcW w:w="116" w:type="dxa"/>
            <w:vMerge/>
            <w:tcBorders>
              <w:top w:val="nil"/>
              <w:left w:val="single" w:sz="2" w:space="0" w:color="006F3C"/>
            </w:tcBorders>
            <w:shd w:val="clear" w:color="auto" w:fill="F4D9DE"/>
          </w:tcPr>
          <w:p w14:paraId="47820867"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628933BA" w14:textId="3A67AEBE" w:rsidR="00F60DD4" w:rsidRPr="00A87AD2" w:rsidRDefault="00A87AD2" w:rsidP="00F60DD4">
            <w:pPr>
              <w:spacing w:before="26" w:line="144" w:lineRule="exact"/>
              <w:ind w:left="59"/>
              <w:rPr>
                <w:rFonts w:ascii="Arial Narrow" w:eastAsia="Arial" w:hAnsi="Arial Narrow" w:cs="Arial"/>
                <w:sz w:val="14"/>
                <w:lang w:eastAsia="en-GB" w:bidi="en-GB"/>
              </w:rPr>
            </w:pPr>
            <w:r w:rsidRPr="00A87AD2">
              <w:rPr>
                <w:rFonts w:ascii="Arial Narrow" w:eastAsia="Arial" w:hAnsi="Arial Narrow" w:cs="Arial"/>
                <w:sz w:val="14"/>
                <w:lang w:val="en-GB" w:eastAsia="en-GB" w:bidi="en-GB"/>
              </w:rPr>
              <w:t>If you perform a prostate cancer targeted PET in patients with advanced prostate cancer, which tracer do you prefer?</w:t>
            </w:r>
          </w:p>
        </w:tc>
        <w:tc>
          <w:tcPr>
            <w:tcW w:w="3312" w:type="dxa"/>
            <w:shd w:val="clear" w:color="auto" w:fill="F4D9DE"/>
            <w:tcMar>
              <w:top w:w="57" w:type="dxa"/>
              <w:left w:w="57" w:type="dxa"/>
              <w:bottom w:w="57" w:type="dxa"/>
              <w:right w:w="57" w:type="dxa"/>
            </w:tcMar>
          </w:tcPr>
          <w:p w14:paraId="44925E61" w14:textId="4D2BFD99" w:rsidR="00F60DD4" w:rsidRPr="00D751C9" w:rsidRDefault="00A87AD2" w:rsidP="00F60DD4">
            <w:pPr>
              <w:spacing w:before="26" w:line="144" w:lineRule="exact"/>
              <w:ind w:left="59"/>
              <w:rPr>
                <w:rFonts w:ascii="Arial Narrow" w:eastAsia="Arial" w:hAnsi="Arial Narrow" w:cs="Arial"/>
                <w:sz w:val="14"/>
                <w:lang w:val="en-GB" w:eastAsia="en-GB" w:bidi="en-GB"/>
              </w:rPr>
            </w:pPr>
            <w:r w:rsidRPr="00A87AD2">
              <w:rPr>
                <w:rFonts w:ascii="Arial Narrow" w:eastAsia="Arial" w:hAnsi="Arial Narrow" w:cs="Arial"/>
                <w:sz w:val="14"/>
                <w:lang w:val="en-GB" w:eastAsia="en-GB" w:bidi="en-GB"/>
              </w:rPr>
              <w:t>PSMA is the preferred tracer for prostate cancer targeted PET in patients with advanced prostate cancer</w:t>
            </w:r>
          </w:p>
        </w:tc>
        <w:tc>
          <w:tcPr>
            <w:tcW w:w="1956" w:type="dxa"/>
            <w:tcBorders>
              <w:right w:val="single" w:sz="2" w:space="0" w:color="006F3C"/>
            </w:tcBorders>
            <w:shd w:val="clear" w:color="auto" w:fill="F4D9DE"/>
            <w:tcMar>
              <w:top w:w="57" w:type="dxa"/>
              <w:left w:w="57" w:type="dxa"/>
              <w:bottom w:w="57" w:type="dxa"/>
              <w:right w:w="57" w:type="dxa"/>
            </w:tcMar>
          </w:tcPr>
          <w:p w14:paraId="3E3B9A16" w14:textId="7AFEC51B" w:rsidR="00F60DD4" w:rsidRPr="00D751C9" w:rsidRDefault="009A568C" w:rsidP="009A568C">
            <w:pPr>
              <w:spacing w:before="26"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11 (48%) of 23;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16 (73%) of 22</w:t>
            </w:r>
          </w:p>
        </w:tc>
        <w:tc>
          <w:tcPr>
            <w:tcW w:w="122" w:type="dxa"/>
            <w:tcBorders>
              <w:left w:val="single" w:sz="2" w:space="0" w:color="006F3C"/>
            </w:tcBorders>
            <w:shd w:val="clear" w:color="auto" w:fill="F4D9DE"/>
          </w:tcPr>
          <w:p w14:paraId="0F931895"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7B789E1B" w14:textId="77777777" w:rsidTr="00F60DD4">
        <w:trPr>
          <w:trHeight w:val="190"/>
        </w:trPr>
        <w:tc>
          <w:tcPr>
            <w:tcW w:w="116" w:type="dxa"/>
            <w:vMerge/>
            <w:tcBorders>
              <w:top w:val="nil"/>
              <w:left w:val="single" w:sz="2" w:space="0" w:color="006F3C"/>
            </w:tcBorders>
            <w:shd w:val="clear" w:color="auto" w:fill="F4D9DE"/>
          </w:tcPr>
          <w:p w14:paraId="6895A704"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50353CCA" w14:textId="23B9F182" w:rsidR="00F60DD4" w:rsidRPr="00D751C9" w:rsidRDefault="009A568C" w:rsidP="00F60DD4">
            <w:pPr>
              <w:spacing w:before="26"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If you perform modern imaging methods in patients with advanced prostate cancer, which method do you prefer?</w:t>
            </w:r>
          </w:p>
        </w:tc>
        <w:tc>
          <w:tcPr>
            <w:tcW w:w="3312" w:type="dxa"/>
            <w:shd w:val="clear" w:color="auto" w:fill="FFFFFF"/>
            <w:tcMar>
              <w:top w:w="57" w:type="dxa"/>
              <w:left w:w="57" w:type="dxa"/>
              <w:bottom w:w="57" w:type="dxa"/>
              <w:right w:w="57" w:type="dxa"/>
            </w:tcMar>
          </w:tcPr>
          <w:p w14:paraId="2569E049" w14:textId="1DB09A51" w:rsidR="00F60DD4" w:rsidRPr="00D751C9" w:rsidRDefault="009A568C" w:rsidP="00F60DD4">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Prostate cancer targeted PET is the preferred imaging method for patients with advanced prostate cancer</w:t>
            </w:r>
          </w:p>
        </w:tc>
        <w:tc>
          <w:tcPr>
            <w:tcW w:w="1956" w:type="dxa"/>
            <w:tcBorders>
              <w:right w:val="single" w:sz="2" w:space="0" w:color="006F3C"/>
            </w:tcBorders>
            <w:shd w:val="clear" w:color="auto" w:fill="FFFFFF"/>
            <w:tcMar>
              <w:top w:w="57" w:type="dxa"/>
              <w:left w:w="57" w:type="dxa"/>
              <w:bottom w:w="57" w:type="dxa"/>
              <w:right w:w="57" w:type="dxa"/>
            </w:tcMar>
          </w:tcPr>
          <w:p w14:paraId="69CE0E42" w14:textId="4B7B945A" w:rsidR="00F60DD4" w:rsidRPr="00D751C9" w:rsidRDefault="009A568C" w:rsidP="009A568C">
            <w:pPr>
              <w:spacing w:before="25"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Round 1: 11 (48%) of 23;</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16 (73%) of 22</w:t>
            </w:r>
          </w:p>
        </w:tc>
        <w:tc>
          <w:tcPr>
            <w:tcW w:w="122" w:type="dxa"/>
            <w:tcBorders>
              <w:left w:val="single" w:sz="2" w:space="0" w:color="006F3C"/>
            </w:tcBorders>
            <w:shd w:val="clear" w:color="auto" w:fill="F4D9DE"/>
          </w:tcPr>
          <w:p w14:paraId="2105ED98"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20F9419E" w14:textId="77777777" w:rsidTr="00F60DD4">
        <w:trPr>
          <w:trHeight w:val="189"/>
        </w:trPr>
        <w:tc>
          <w:tcPr>
            <w:tcW w:w="116" w:type="dxa"/>
            <w:vMerge/>
            <w:tcBorders>
              <w:top w:val="nil"/>
              <w:left w:val="single" w:sz="2" w:space="0" w:color="006F3C"/>
            </w:tcBorders>
            <w:shd w:val="clear" w:color="auto" w:fill="F4D9DE"/>
          </w:tcPr>
          <w:p w14:paraId="5D56735C"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1C0A39EA" w14:textId="77777777" w:rsidR="009A568C" w:rsidRPr="009A568C"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If you do modern imaging methods in patients with</w:t>
            </w:r>
          </w:p>
          <w:p w14:paraId="4F5C82A0" w14:textId="77777777" w:rsidR="009A568C" w:rsidRPr="009A568C"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advanced prostate cancer to evaluate extent of disease,</w:t>
            </w:r>
          </w:p>
          <w:p w14:paraId="58946C82" w14:textId="2B0C0BF1" w:rsidR="00F60DD4" w:rsidRPr="00D751C9"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which method do you prefer?</w:t>
            </w:r>
          </w:p>
        </w:tc>
        <w:tc>
          <w:tcPr>
            <w:tcW w:w="3312" w:type="dxa"/>
            <w:shd w:val="clear" w:color="auto" w:fill="F4D9DE"/>
            <w:tcMar>
              <w:top w:w="57" w:type="dxa"/>
              <w:left w:w="57" w:type="dxa"/>
              <w:bottom w:w="57" w:type="dxa"/>
              <w:right w:w="57" w:type="dxa"/>
            </w:tcMar>
          </w:tcPr>
          <w:p w14:paraId="58F7BDE1" w14:textId="77777777" w:rsidR="009A568C" w:rsidRPr="009A568C"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If modern imaging method in patients with advanced</w:t>
            </w:r>
          </w:p>
          <w:p w14:paraId="333C3CC0" w14:textId="77777777" w:rsidR="009A568C" w:rsidRPr="009A568C"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prostate cancer is performed to evaluate extent of disease,</w:t>
            </w:r>
          </w:p>
          <w:p w14:paraId="51139A22" w14:textId="28F36DB0" w:rsidR="00F60DD4" w:rsidRPr="00D751C9"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the preferred method is prostate cancer-targeted PET</w:t>
            </w:r>
          </w:p>
        </w:tc>
        <w:tc>
          <w:tcPr>
            <w:tcW w:w="1956" w:type="dxa"/>
            <w:tcBorders>
              <w:right w:val="single" w:sz="2" w:space="0" w:color="006F3C"/>
            </w:tcBorders>
            <w:shd w:val="clear" w:color="auto" w:fill="F4D9DE"/>
            <w:tcMar>
              <w:top w:w="57" w:type="dxa"/>
              <w:left w:w="57" w:type="dxa"/>
              <w:bottom w:w="57" w:type="dxa"/>
              <w:right w:w="57" w:type="dxa"/>
            </w:tcMar>
          </w:tcPr>
          <w:p w14:paraId="780CDB32" w14:textId="737DCFF8" w:rsidR="00F60DD4" w:rsidRPr="00D751C9" w:rsidRDefault="009A568C" w:rsidP="009A568C">
            <w:pPr>
              <w:spacing w:before="25"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11 (48%) of 23;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 xml:space="preserve">14 (61%) of 23;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3: 16 (80%)</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of 20</w:t>
            </w:r>
          </w:p>
        </w:tc>
        <w:tc>
          <w:tcPr>
            <w:tcW w:w="122" w:type="dxa"/>
            <w:tcBorders>
              <w:left w:val="single" w:sz="2" w:space="0" w:color="006F3C"/>
            </w:tcBorders>
            <w:shd w:val="clear" w:color="auto" w:fill="F4D9DE"/>
          </w:tcPr>
          <w:p w14:paraId="20420CFE"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1D5667D0" w14:textId="77777777" w:rsidTr="00F60DD4">
        <w:trPr>
          <w:trHeight w:val="189"/>
        </w:trPr>
        <w:tc>
          <w:tcPr>
            <w:tcW w:w="116" w:type="dxa"/>
            <w:vMerge/>
            <w:tcBorders>
              <w:top w:val="nil"/>
              <w:left w:val="single" w:sz="2" w:space="0" w:color="006F3C"/>
            </w:tcBorders>
            <w:shd w:val="clear" w:color="auto" w:fill="F4D9DE"/>
          </w:tcPr>
          <w:p w14:paraId="15571FF8"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6AFF5E40" w14:textId="77777777" w:rsidR="009A568C" w:rsidRPr="009A568C"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Which patients with advanced metastatic</w:t>
            </w:r>
          </w:p>
          <w:p w14:paraId="61CFBD27" w14:textId="77777777" w:rsidR="009A568C" w:rsidRPr="009A568C"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qualify for treatment</w:t>
            </w:r>
          </w:p>
          <w:p w14:paraId="4A723134" w14:textId="79985D67" w:rsidR="00F60DD4" w:rsidRPr="00D751C9" w:rsidRDefault="009A568C" w:rsidP="009A568C">
            <w:pPr>
              <w:spacing w:before="25"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with therapeutic radiopharmaceuticals?</w:t>
            </w:r>
          </w:p>
        </w:tc>
        <w:tc>
          <w:tcPr>
            <w:tcW w:w="3312" w:type="dxa"/>
            <w:shd w:val="clear" w:color="auto" w:fill="FFFFFF"/>
            <w:tcMar>
              <w:top w:w="57" w:type="dxa"/>
              <w:left w:w="57" w:type="dxa"/>
              <w:bottom w:w="57" w:type="dxa"/>
              <w:right w:w="57" w:type="dxa"/>
            </w:tcMar>
          </w:tcPr>
          <w:p w14:paraId="1880038D" w14:textId="77777777" w:rsidR="009A568C" w:rsidRPr="009A568C"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Qualification of patients with advanced metastatic</w:t>
            </w:r>
          </w:p>
          <w:p w14:paraId="0214FD63" w14:textId="77777777" w:rsidR="009A568C" w:rsidRPr="009A568C"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for treatment with</w:t>
            </w:r>
          </w:p>
          <w:p w14:paraId="7A49652D" w14:textId="77777777" w:rsidR="009A568C" w:rsidRPr="009A568C"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therapeutic radiopharmaceuticals varies as a function of</w:t>
            </w:r>
          </w:p>
          <w:p w14:paraId="19D67601" w14:textId="6CBB619D" w:rsidR="00F60DD4" w:rsidRPr="00D751C9" w:rsidRDefault="009A568C" w:rsidP="009A568C">
            <w:pPr>
              <w:spacing w:before="25"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available radiopharmaceuticals and respective indications.</w:t>
            </w:r>
          </w:p>
        </w:tc>
        <w:tc>
          <w:tcPr>
            <w:tcW w:w="1956" w:type="dxa"/>
            <w:tcBorders>
              <w:right w:val="single" w:sz="2" w:space="0" w:color="006F3C"/>
            </w:tcBorders>
            <w:shd w:val="clear" w:color="auto" w:fill="FFFFFF"/>
            <w:tcMar>
              <w:top w:w="57" w:type="dxa"/>
              <w:left w:w="57" w:type="dxa"/>
              <w:bottom w:w="57" w:type="dxa"/>
              <w:right w:w="57" w:type="dxa"/>
            </w:tcMar>
          </w:tcPr>
          <w:p w14:paraId="5379BD3C" w14:textId="441358D0" w:rsidR="00F60DD4" w:rsidRPr="00D751C9" w:rsidRDefault="009A568C" w:rsidP="00F60DD4">
            <w:pPr>
              <w:spacing w:before="25"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Round 1: 18 (82%) of 22</w:t>
            </w:r>
          </w:p>
        </w:tc>
        <w:tc>
          <w:tcPr>
            <w:tcW w:w="122" w:type="dxa"/>
            <w:tcBorders>
              <w:left w:val="single" w:sz="2" w:space="0" w:color="006F3C"/>
            </w:tcBorders>
            <w:shd w:val="clear" w:color="auto" w:fill="F4D9DE"/>
          </w:tcPr>
          <w:p w14:paraId="005D7B78"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6638D2CC" w14:textId="77777777" w:rsidTr="00F60DD4">
        <w:trPr>
          <w:trHeight w:val="189"/>
        </w:trPr>
        <w:tc>
          <w:tcPr>
            <w:tcW w:w="116" w:type="dxa"/>
            <w:vMerge/>
            <w:tcBorders>
              <w:top w:val="nil"/>
              <w:left w:val="single" w:sz="2" w:space="0" w:color="006F3C"/>
            </w:tcBorders>
            <w:shd w:val="clear" w:color="auto" w:fill="F4D9DE"/>
          </w:tcPr>
          <w:p w14:paraId="16D95967"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5C52A5C4" w14:textId="77777777" w:rsidR="009A568C" w:rsidRPr="009A568C" w:rsidRDefault="009A568C" w:rsidP="009A568C">
            <w:pPr>
              <w:spacing w:before="24"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Which patients with advanced metastatic</w:t>
            </w:r>
          </w:p>
          <w:p w14:paraId="69AE3A60" w14:textId="77777777" w:rsidR="009A568C" w:rsidRPr="009A568C" w:rsidRDefault="009A568C" w:rsidP="009A568C">
            <w:pPr>
              <w:spacing w:before="24"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do you refer for</w:t>
            </w:r>
          </w:p>
          <w:p w14:paraId="5C025D79" w14:textId="77777777" w:rsidR="009A568C" w:rsidRPr="009A568C" w:rsidRDefault="009A568C" w:rsidP="009A568C">
            <w:pPr>
              <w:spacing w:before="24"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palliative treatment with bone targeting</w:t>
            </w:r>
          </w:p>
          <w:p w14:paraId="61C8DAAC" w14:textId="77777777" w:rsidR="009A568C" w:rsidRPr="009A568C" w:rsidRDefault="009A568C" w:rsidP="009A568C">
            <w:pPr>
              <w:spacing w:before="24"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radiopharmaceuticals (eg, rhenium-186, samarium-153,</w:t>
            </w:r>
          </w:p>
          <w:p w14:paraId="2B47872E" w14:textId="7179F204" w:rsidR="00F60DD4" w:rsidRPr="00D751C9" w:rsidRDefault="009A568C" w:rsidP="009A568C">
            <w:pPr>
              <w:spacing w:before="24" w:line="144"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and strontium-89)?</w:t>
            </w:r>
          </w:p>
        </w:tc>
        <w:tc>
          <w:tcPr>
            <w:tcW w:w="3312" w:type="dxa"/>
            <w:shd w:val="clear" w:color="auto" w:fill="F4D9DE"/>
            <w:tcMar>
              <w:top w:w="57" w:type="dxa"/>
              <w:left w:w="57" w:type="dxa"/>
              <w:bottom w:w="57" w:type="dxa"/>
              <w:right w:w="57" w:type="dxa"/>
            </w:tcMar>
          </w:tcPr>
          <w:p w14:paraId="7207E249"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Almost no patients with advanced metastatic</w:t>
            </w:r>
          </w:p>
          <w:p w14:paraId="3380FCDC"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are referred for</w:t>
            </w:r>
          </w:p>
          <w:p w14:paraId="767164F3"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palliative treatment with bone targeting</w:t>
            </w:r>
          </w:p>
          <w:p w14:paraId="773AC718"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radiopharmaceuticals (such as rhenium-186, samarium-153</w:t>
            </w:r>
          </w:p>
          <w:p w14:paraId="7219C37A" w14:textId="24F4D7A3"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and strontium-89)</w:t>
            </w:r>
          </w:p>
        </w:tc>
        <w:tc>
          <w:tcPr>
            <w:tcW w:w="1956" w:type="dxa"/>
            <w:tcBorders>
              <w:right w:val="single" w:sz="2" w:space="0" w:color="006F3C"/>
            </w:tcBorders>
            <w:shd w:val="clear" w:color="auto" w:fill="F4D9DE"/>
            <w:tcMar>
              <w:top w:w="57" w:type="dxa"/>
              <w:left w:w="57" w:type="dxa"/>
              <w:bottom w:w="57" w:type="dxa"/>
              <w:right w:w="57" w:type="dxa"/>
            </w:tcMar>
          </w:tcPr>
          <w:p w14:paraId="616D225E" w14:textId="5120C108" w:rsidR="00F60DD4" w:rsidRPr="00D751C9" w:rsidRDefault="009A568C" w:rsidP="009A568C">
            <w:pPr>
              <w:spacing w:before="24"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8 (42%) of 19;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 xml:space="preserve">9 (50%) of 18;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3: 16 (89%)</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of 18</w:t>
            </w:r>
          </w:p>
        </w:tc>
        <w:tc>
          <w:tcPr>
            <w:tcW w:w="122" w:type="dxa"/>
            <w:tcBorders>
              <w:left w:val="single" w:sz="2" w:space="0" w:color="006F3C"/>
            </w:tcBorders>
            <w:shd w:val="clear" w:color="auto" w:fill="F4D9DE"/>
          </w:tcPr>
          <w:p w14:paraId="32CC6483"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5EB470F0" w14:textId="77777777" w:rsidTr="00F60DD4">
        <w:trPr>
          <w:trHeight w:val="188"/>
        </w:trPr>
        <w:tc>
          <w:tcPr>
            <w:tcW w:w="116" w:type="dxa"/>
            <w:vMerge/>
            <w:tcBorders>
              <w:top w:val="nil"/>
              <w:left w:val="single" w:sz="2" w:space="0" w:color="006F3C"/>
            </w:tcBorders>
            <w:shd w:val="clear" w:color="auto" w:fill="F4D9DE"/>
          </w:tcPr>
          <w:p w14:paraId="2CFBDAD1"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7A85ADA2"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Which patients with advanced metastatic</w:t>
            </w:r>
          </w:p>
          <w:p w14:paraId="75630BF8"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do you refer for</w:t>
            </w:r>
          </w:p>
          <w:p w14:paraId="73CF2D7D"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treatment with PSMA therapeutic radiopharmaceuticals</w:t>
            </w:r>
          </w:p>
          <w:p w14:paraId="55063D52" w14:textId="6E11131D"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(given that they are PSMA PET positive)?</w:t>
            </w:r>
          </w:p>
        </w:tc>
        <w:tc>
          <w:tcPr>
            <w:tcW w:w="3312" w:type="dxa"/>
            <w:shd w:val="clear" w:color="auto" w:fill="FFFFFF"/>
            <w:tcMar>
              <w:top w:w="57" w:type="dxa"/>
              <w:left w:w="57" w:type="dxa"/>
              <w:bottom w:w="57" w:type="dxa"/>
              <w:right w:w="57" w:type="dxa"/>
            </w:tcMar>
          </w:tcPr>
          <w:p w14:paraId="06AC8E4C"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Metastatic patients with advanced metastatic</w:t>
            </w:r>
          </w:p>
          <w:p w14:paraId="24DBB27B"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castration-resistant prostate cancer (bone and nodal</w:t>
            </w:r>
          </w:p>
          <w:p w14:paraId="1B5AED5B"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lesions) who have already been treated with or who have</w:t>
            </w:r>
          </w:p>
          <w:p w14:paraId="0A507947"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contraindications for all other available life-prolonging</w:t>
            </w:r>
          </w:p>
          <w:p w14:paraId="4C495BA1"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therapies with advanced metastatic castration-resistant</w:t>
            </w:r>
          </w:p>
          <w:p w14:paraId="354D0A3A"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prostate cancer (given that they are PSMA PET positive)</w:t>
            </w:r>
          </w:p>
          <w:p w14:paraId="678E2BA2"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should be considered for referral for treatment with</w:t>
            </w:r>
          </w:p>
          <w:p w14:paraId="6B6B51DF" w14:textId="542CDA84"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PSMA-therapeutic radiopharmaceuticals</w:t>
            </w:r>
          </w:p>
        </w:tc>
        <w:tc>
          <w:tcPr>
            <w:tcW w:w="1956" w:type="dxa"/>
            <w:tcBorders>
              <w:right w:val="single" w:sz="2" w:space="0" w:color="006F3C"/>
            </w:tcBorders>
            <w:shd w:val="clear" w:color="auto" w:fill="FFFFFF"/>
            <w:tcMar>
              <w:top w:w="57" w:type="dxa"/>
              <w:left w:w="57" w:type="dxa"/>
              <w:bottom w:w="57" w:type="dxa"/>
              <w:right w:w="57" w:type="dxa"/>
            </w:tcMar>
          </w:tcPr>
          <w:p w14:paraId="0F30C51C" w14:textId="56569982" w:rsidR="00F60DD4" w:rsidRPr="00D751C9" w:rsidRDefault="009A568C" w:rsidP="009A568C">
            <w:pPr>
              <w:spacing w:before="24"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10 (59%) of 17;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13 (77%) of 17</w:t>
            </w:r>
          </w:p>
        </w:tc>
        <w:tc>
          <w:tcPr>
            <w:tcW w:w="122" w:type="dxa"/>
            <w:tcBorders>
              <w:left w:val="single" w:sz="2" w:space="0" w:color="006F3C"/>
            </w:tcBorders>
            <w:shd w:val="clear" w:color="auto" w:fill="F4D9DE"/>
          </w:tcPr>
          <w:p w14:paraId="5D0688A1"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41C74091" w14:textId="77777777" w:rsidTr="00F60DD4">
        <w:trPr>
          <w:trHeight w:val="188"/>
        </w:trPr>
        <w:tc>
          <w:tcPr>
            <w:tcW w:w="116" w:type="dxa"/>
            <w:vMerge/>
            <w:tcBorders>
              <w:top w:val="nil"/>
              <w:left w:val="single" w:sz="2" w:space="0" w:color="006F3C"/>
            </w:tcBorders>
            <w:shd w:val="clear" w:color="auto" w:fill="F4D9DE"/>
          </w:tcPr>
          <w:p w14:paraId="4B5D88F8"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210CF796"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If you refer patients with metastatic castration-resistant</w:t>
            </w:r>
          </w:p>
          <w:p w14:paraId="0982FC25"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prostate cancer for therapeutic radiopharmaceuticals,</w:t>
            </w:r>
          </w:p>
          <w:p w14:paraId="5E5C6D81" w14:textId="010FC6B0"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which treatment do you prefer?</w:t>
            </w:r>
          </w:p>
        </w:tc>
        <w:tc>
          <w:tcPr>
            <w:tcW w:w="3312" w:type="dxa"/>
            <w:shd w:val="clear" w:color="auto" w:fill="F4D9DE"/>
            <w:tcMar>
              <w:top w:w="57" w:type="dxa"/>
              <w:left w:w="57" w:type="dxa"/>
              <w:bottom w:w="57" w:type="dxa"/>
              <w:right w:w="57" w:type="dxa"/>
            </w:tcMar>
          </w:tcPr>
          <w:p w14:paraId="0D43724B"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Among the therapeutic radiopharmaceuticals available for</w:t>
            </w:r>
          </w:p>
          <w:p w14:paraId="6F8450C1"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patients with metastatic castration-resistant prostate</w:t>
            </w:r>
          </w:p>
          <w:p w14:paraId="1AE1DEC8" w14:textId="421AEE14"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cancer, radium-223 is preferred</w:t>
            </w:r>
          </w:p>
        </w:tc>
        <w:tc>
          <w:tcPr>
            <w:tcW w:w="1956" w:type="dxa"/>
            <w:tcBorders>
              <w:right w:val="single" w:sz="2" w:space="0" w:color="006F3C"/>
            </w:tcBorders>
            <w:shd w:val="clear" w:color="auto" w:fill="F4D9DE"/>
            <w:tcMar>
              <w:top w:w="57" w:type="dxa"/>
              <w:left w:w="57" w:type="dxa"/>
              <w:bottom w:w="57" w:type="dxa"/>
              <w:right w:w="57" w:type="dxa"/>
            </w:tcMar>
          </w:tcPr>
          <w:p w14:paraId="662C6E3A" w14:textId="0F2FA88E" w:rsidR="00F60DD4" w:rsidRPr="00D751C9" w:rsidRDefault="009A568C" w:rsidP="009A568C">
            <w:pPr>
              <w:spacing w:before="24"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10 (48%) of 21;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16 (80%) of 20</w:t>
            </w:r>
          </w:p>
        </w:tc>
        <w:tc>
          <w:tcPr>
            <w:tcW w:w="122" w:type="dxa"/>
            <w:tcBorders>
              <w:left w:val="single" w:sz="2" w:space="0" w:color="006F3C"/>
            </w:tcBorders>
            <w:shd w:val="clear" w:color="auto" w:fill="F4D9DE"/>
          </w:tcPr>
          <w:p w14:paraId="518DA387"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711DB9FD" w14:textId="77777777" w:rsidTr="00F60DD4">
        <w:trPr>
          <w:trHeight w:val="188"/>
        </w:trPr>
        <w:tc>
          <w:tcPr>
            <w:tcW w:w="116" w:type="dxa"/>
            <w:vMerge/>
            <w:tcBorders>
              <w:top w:val="nil"/>
              <w:left w:val="single" w:sz="2" w:space="0" w:color="006F3C"/>
            </w:tcBorders>
            <w:shd w:val="clear" w:color="auto" w:fill="F4D9DE"/>
          </w:tcPr>
          <w:p w14:paraId="1404E24E"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64B9FF29"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In patients with metastatic castration-resistant prostate</w:t>
            </w:r>
          </w:p>
          <w:p w14:paraId="4E7EA69A"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cancer would you consider therapy with PSMA</w:t>
            </w:r>
          </w:p>
          <w:p w14:paraId="1A6A85D5" w14:textId="6BCA528F"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radiopharmaceuticals?</w:t>
            </w:r>
          </w:p>
        </w:tc>
        <w:tc>
          <w:tcPr>
            <w:tcW w:w="3312" w:type="dxa"/>
            <w:shd w:val="clear" w:color="auto" w:fill="FFFFFF"/>
            <w:tcMar>
              <w:top w:w="57" w:type="dxa"/>
              <w:left w:w="57" w:type="dxa"/>
              <w:bottom w:w="57" w:type="dxa"/>
              <w:right w:w="57" w:type="dxa"/>
            </w:tcMar>
          </w:tcPr>
          <w:p w14:paraId="18DF7EE7"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Patients with metastatic castration-resistant prostate</w:t>
            </w:r>
          </w:p>
          <w:p w14:paraId="5114269A" w14:textId="77777777" w:rsidR="009A568C" w:rsidRPr="009A568C"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cancer should only be considered for therapy with PSMA</w:t>
            </w:r>
          </w:p>
          <w:p w14:paraId="039CF867" w14:textId="0D19D51D" w:rsidR="00F60DD4" w:rsidRPr="00D751C9" w:rsidRDefault="009A568C" w:rsidP="009A568C">
            <w:pPr>
              <w:spacing w:before="24" w:line="145" w:lineRule="exact"/>
              <w:ind w:left="59"/>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radiopharmaceuticals within appropriate clinical trials</w:t>
            </w:r>
          </w:p>
        </w:tc>
        <w:tc>
          <w:tcPr>
            <w:tcW w:w="1956" w:type="dxa"/>
            <w:tcBorders>
              <w:right w:val="single" w:sz="2" w:space="0" w:color="006F3C"/>
            </w:tcBorders>
            <w:shd w:val="clear" w:color="auto" w:fill="FFFFFF"/>
            <w:tcMar>
              <w:top w:w="57" w:type="dxa"/>
              <w:left w:w="57" w:type="dxa"/>
              <w:bottom w:w="57" w:type="dxa"/>
              <w:right w:w="57" w:type="dxa"/>
            </w:tcMar>
          </w:tcPr>
          <w:p w14:paraId="37F2277D" w14:textId="07DA5D76" w:rsidR="00F60DD4" w:rsidRPr="00D751C9" w:rsidRDefault="009A568C" w:rsidP="009A568C">
            <w:pPr>
              <w:spacing w:before="24" w:line="145" w:lineRule="exact"/>
              <w:ind w:left="63"/>
              <w:rPr>
                <w:rFonts w:ascii="Arial Narrow" w:eastAsia="Arial" w:hAnsi="Arial Narrow" w:cs="Arial"/>
                <w:sz w:val="14"/>
                <w:lang w:val="en-GB" w:eastAsia="en-GB" w:bidi="en-GB"/>
              </w:rPr>
            </w:pPr>
            <w:r w:rsidRPr="009A568C">
              <w:rPr>
                <w:rFonts w:ascii="Arial Narrow" w:eastAsia="Arial" w:hAnsi="Arial Narrow" w:cs="Arial"/>
                <w:sz w:val="14"/>
                <w:lang w:val="en-GB" w:eastAsia="en-GB" w:bidi="en-GB"/>
              </w:rPr>
              <w:t xml:space="preserve">Round 1: 10 (53%) of 19; </w:t>
            </w:r>
            <w:r>
              <w:rPr>
                <w:rFonts w:ascii="Arial Narrow" w:eastAsia="Arial" w:hAnsi="Arial Narrow" w:cs="Arial"/>
                <w:sz w:val="14"/>
                <w:lang w:val="en-GB" w:eastAsia="en-GB" w:bidi="en-GB"/>
              </w:rPr>
              <w:br/>
              <w:t>R</w:t>
            </w:r>
            <w:r w:rsidRPr="009A568C">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9A568C">
              <w:rPr>
                <w:rFonts w:ascii="Arial Narrow" w:eastAsia="Arial" w:hAnsi="Arial Narrow" w:cs="Arial"/>
                <w:sz w:val="14"/>
                <w:lang w:val="en-GB" w:eastAsia="en-GB" w:bidi="en-GB"/>
              </w:rPr>
              <w:t>16 (84%) of 19</w:t>
            </w:r>
          </w:p>
        </w:tc>
        <w:tc>
          <w:tcPr>
            <w:tcW w:w="122" w:type="dxa"/>
            <w:tcBorders>
              <w:left w:val="single" w:sz="2" w:space="0" w:color="006F3C"/>
            </w:tcBorders>
            <w:shd w:val="clear" w:color="auto" w:fill="F4D9DE"/>
          </w:tcPr>
          <w:p w14:paraId="5FE1B65B"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14574020" w14:textId="77777777" w:rsidTr="00F60DD4">
        <w:trPr>
          <w:trHeight w:val="188"/>
        </w:trPr>
        <w:tc>
          <w:tcPr>
            <w:tcW w:w="116" w:type="dxa"/>
            <w:vMerge/>
            <w:tcBorders>
              <w:top w:val="nil"/>
              <w:left w:val="single" w:sz="2" w:space="0" w:color="006F3C"/>
            </w:tcBorders>
            <w:shd w:val="clear" w:color="auto" w:fill="F4D9DE"/>
          </w:tcPr>
          <w:p w14:paraId="1C75258F"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4D9DE"/>
            <w:tcMar>
              <w:top w:w="57" w:type="dxa"/>
              <w:left w:w="57" w:type="dxa"/>
              <w:bottom w:w="57" w:type="dxa"/>
              <w:right w:w="57" w:type="dxa"/>
            </w:tcMar>
          </w:tcPr>
          <w:p w14:paraId="6159C23C"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In patients with metastatic castration-resistant prostate</w:t>
            </w:r>
          </w:p>
          <w:p w14:paraId="4B7D4F8A"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cancer and candidates for radium-223 treatment, would</w:t>
            </w:r>
          </w:p>
          <w:p w14:paraId="552EA229" w14:textId="21612F83" w:rsidR="00F60DD4" w:rsidRPr="00D751C9"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you consider using other prostate cancer-specific therapies?</w:t>
            </w:r>
          </w:p>
        </w:tc>
        <w:tc>
          <w:tcPr>
            <w:tcW w:w="3312" w:type="dxa"/>
            <w:shd w:val="clear" w:color="auto" w:fill="F4D9DE"/>
            <w:tcMar>
              <w:top w:w="57" w:type="dxa"/>
              <w:left w:w="57" w:type="dxa"/>
              <w:bottom w:w="57" w:type="dxa"/>
              <w:right w:w="57" w:type="dxa"/>
            </w:tcMar>
          </w:tcPr>
          <w:p w14:paraId="550F9079"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In patients with metastatic castration-resistant prostate</w:t>
            </w:r>
          </w:p>
          <w:p w14:paraId="51265396"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cancer and candidates for radium-223 treatment,</w:t>
            </w:r>
          </w:p>
          <w:p w14:paraId="46619555"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association of other prostate cancer specific therapies is</w:t>
            </w:r>
          </w:p>
          <w:p w14:paraId="790FD61C" w14:textId="28AAB0AD" w:rsidR="00F60DD4" w:rsidRPr="00D751C9"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considered only within appropriate clinical trial</w:t>
            </w:r>
          </w:p>
        </w:tc>
        <w:tc>
          <w:tcPr>
            <w:tcW w:w="1956" w:type="dxa"/>
            <w:tcBorders>
              <w:right w:val="single" w:sz="2" w:space="0" w:color="006F3C"/>
            </w:tcBorders>
            <w:shd w:val="clear" w:color="auto" w:fill="F4D9DE"/>
            <w:tcMar>
              <w:top w:w="57" w:type="dxa"/>
              <w:left w:w="57" w:type="dxa"/>
              <w:bottom w:w="57" w:type="dxa"/>
              <w:right w:w="57" w:type="dxa"/>
            </w:tcMar>
          </w:tcPr>
          <w:p w14:paraId="6F95DA7E" w14:textId="3FEA9821" w:rsidR="00F60DD4" w:rsidRPr="00D751C9" w:rsidRDefault="00E8013F" w:rsidP="00E8013F">
            <w:pPr>
              <w:spacing w:before="24" w:line="145" w:lineRule="exact"/>
              <w:ind w:left="63"/>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 xml:space="preserve">Round 1: 9 (50%) of 18; </w:t>
            </w:r>
            <w:r>
              <w:rPr>
                <w:rFonts w:ascii="Arial Narrow" w:eastAsia="Arial" w:hAnsi="Arial Narrow" w:cs="Arial"/>
                <w:sz w:val="14"/>
                <w:lang w:val="en-GB" w:eastAsia="en-GB" w:bidi="en-GB"/>
              </w:rPr>
              <w:br/>
              <w:t>R</w:t>
            </w:r>
            <w:r w:rsidRPr="00E8013F">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E8013F">
              <w:rPr>
                <w:rFonts w:ascii="Arial Narrow" w:eastAsia="Arial" w:hAnsi="Arial Narrow" w:cs="Arial"/>
                <w:sz w:val="14"/>
                <w:lang w:val="en-GB" w:eastAsia="en-GB" w:bidi="en-GB"/>
              </w:rPr>
              <w:t xml:space="preserve">11 (65%) of 17; </w:t>
            </w:r>
            <w:r>
              <w:rPr>
                <w:rFonts w:ascii="Arial Narrow" w:eastAsia="Arial" w:hAnsi="Arial Narrow" w:cs="Arial"/>
                <w:sz w:val="14"/>
                <w:lang w:val="en-GB" w:eastAsia="en-GB" w:bidi="en-GB"/>
              </w:rPr>
              <w:br/>
              <w:t>R</w:t>
            </w:r>
            <w:r w:rsidRPr="00E8013F">
              <w:rPr>
                <w:rFonts w:ascii="Arial Narrow" w:eastAsia="Arial" w:hAnsi="Arial Narrow" w:cs="Arial"/>
                <w:sz w:val="14"/>
                <w:lang w:val="en-GB" w:eastAsia="en-GB" w:bidi="en-GB"/>
              </w:rPr>
              <w:t>ound 3: 18 (90%)</w:t>
            </w:r>
            <w:r>
              <w:rPr>
                <w:rFonts w:ascii="Arial Narrow" w:eastAsia="Arial" w:hAnsi="Arial Narrow" w:cs="Arial"/>
                <w:sz w:val="14"/>
                <w:lang w:val="en-GB" w:eastAsia="en-GB" w:bidi="en-GB"/>
              </w:rPr>
              <w:t xml:space="preserve"> </w:t>
            </w:r>
            <w:r w:rsidRPr="00E8013F">
              <w:rPr>
                <w:rFonts w:ascii="Arial Narrow" w:eastAsia="Arial" w:hAnsi="Arial Narrow" w:cs="Arial"/>
                <w:sz w:val="14"/>
                <w:lang w:val="en-GB" w:eastAsia="en-GB" w:bidi="en-GB"/>
              </w:rPr>
              <w:t>of 20</w:t>
            </w:r>
          </w:p>
        </w:tc>
        <w:tc>
          <w:tcPr>
            <w:tcW w:w="122" w:type="dxa"/>
            <w:tcBorders>
              <w:left w:val="single" w:sz="2" w:space="0" w:color="006F3C"/>
            </w:tcBorders>
            <w:shd w:val="clear" w:color="auto" w:fill="F4D9DE"/>
          </w:tcPr>
          <w:p w14:paraId="62EC0A62" w14:textId="77777777" w:rsidR="00F60DD4" w:rsidRPr="00D751C9" w:rsidRDefault="00F60DD4" w:rsidP="00F60DD4">
            <w:pPr>
              <w:rPr>
                <w:rFonts w:ascii="Times New Roman" w:eastAsia="Arial" w:hAnsi="Arial" w:cs="Arial"/>
                <w:sz w:val="12"/>
                <w:lang w:val="en-GB" w:eastAsia="en-GB" w:bidi="en-GB"/>
              </w:rPr>
            </w:pPr>
          </w:p>
        </w:tc>
      </w:tr>
      <w:tr w:rsidR="00F60DD4" w:rsidRPr="00D751C9" w14:paraId="4F02911D" w14:textId="77777777" w:rsidTr="00F60DD4">
        <w:trPr>
          <w:trHeight w:val="188"/>
        </w:trPr>
        <w:tc>
          <w:tcPr>
            <w:tcW w:w="116" w:type="dxa"/>
            <w:vMerge/>
            <w:tcBorders>
              <w:top w:val="nil"/>
              <w:left w:val="single" w:sz="2" w:space="0" w:color="006F3C"/>
            </w:tcBorders>
            <w:shd w:val="clear" w:color="auto" w:fill="F4D9DE"/>
          </w:tcPr>
          <w:p w14:paraId="7243BC07" w14:textId="77777777" w:rsidR="00F60DD4" w:rsidRPr="00D751C9" w:rsidRDefault="00F60DD4" w:rsidP="00F60DD4">
            <w:pPr>
              <w:rPr>
                <w:rFonts w:ascii="Georgia" w:eastAsia="Georgia" w:hAnsi="Georgia" w:cs="Georgia"/>
                <w:sz w:val="2"/>
                <w:szCs w:val="2"/>
                <w:lang w:val="en-GB" w:eastAsia="en-GB" w:bidi="en-GB"/>
              </w:rPr>
            </w:pPr>
          </w:p>
        </w:tc>
        <w:tc>
          <w:tcPr>
            <w:tcW w:w="3283" w:type="dxa"/>
            <w:shd w:val="clear" w:color="auto" w:fill="FFFFFF"/>
            <w:tcMar>
              <w:top w:w="57" w:type="dxa"/>
              <w:left w:w="57" w:type="dxa"/>
              <w:bottom w:w="57" w:type="dxa"/>
              <w:right w:w="57" w:type="dxa"/>
            </w:tcMar>
          </w:tcPr>
          <w:p w14:paraId="66C5EFF9"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In patients with metastatic castration-resistant prostate</w:t>
            </w:r>
          </w:p>
          <w:p w14:paraId="52941220"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cancer and candidate for radium-223 treatment, which</w:t>
            </w:r>
          </w:p>
          <w:p w14:paraId="15883A55"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imaging methods are you recommending before</w:t>
            </w:r>
          </w:p>
          <w:p w14:paraId="2B913F6C" w14:textId="26328727" w:rsidR="00F60DD4" w:rsidRPr="00D751C9"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treatment?</w:t>
            </w:r>
          </w:p>
        </w:tc>
        <w:tc>
          <w:tcPr>
            <w:tcW w:w="3312" w:type="dxa"/>
            <w:shd w:val="clear" w:color="auto" w:fill="FFFFFF"/>
            <w:tcMar>
              <w:top w:w="57" w:type="dxa"/>
              <w:left w:w="57" w:type="dxa"/>
              <w:bottom w:w="57" w:type="dxa"/>
              <w:right w:w="57" w:type="dxa"/>
            </w:tcMar>
          </w:tcPr>
          <w:p w14:paraId="7AEBB40D"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Bone scintigraphy is the imaging method recommended</w:t>
            </w:r>
          </w:p>
          <w:p w14:paraId="3F6754E7"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before treatment in patients with metastatic</w:t>
            </w:r>
          </w:p>
          <w:p w14:paraId="7A30F742" w14:textId="77777777" w:rsidR="00E8013F" w:rsidRPr="00E8013F"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castration-resistant prostate cancer and candidate for</w:t>
            </w:r>
          </w:p>
          <w:p w14:paraId="7E3AD4D8" w14:textId="438A9AE8" w:rsidR="00F60DD4" w:rsidRPr="00D751C9" w:rsidRDefault="00E8013F" w:rsidP="00E8013F">
            <w:pPr>
              <w:spacing w:before="24" w:line="144"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radium-223 treatment</w:t>
            </w:r>
          </w:p>
        </w:tc>
        <w:tc>
          <w:tcPr>
            <w:tcW w:w="1956" w:type="dxa"/>
            <w:tcBorders>
              <w:right w:val="single" w:sz="2" w:space="0" w:color="006F3C"/>
            </w:tcBorders>
            <w:shd w:val="clear" w:color="auto" w:fill="FFFFFF"/>
            <w:tcMar>
              <w:top w:w="57" w:type="dxa"/>
              <w:left w:w="57" w:type="dxa"/>
              <w:bottom w:w="57" w:type="dxa"/>
              <w:right w:w="57" w:type="dxa"/>
            </w:tcMar>
          </w:tcPr>
          <w:p w14:paraId="32044EAB" w14:textId="7ED14864" w:rsidR="00F60DD4" w:rsidRPr="00D751C9" w:rsidRDefault="00E8013F" w:rsidP="00E8013F">
            <w:pPr>
              <w:spacing w:before="24" w:line="145" w:lineRule="exact"/>
              <w:ind w:left="63"/>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 xml:space="preserve">Round 1: 10 (48%) of 21; </w:t>
            </w:r>
            <w:r>
              <w:rPr>
                <w:rFonts w:ascii="Arial Narrow" w:eastAsia="Arial" w:hAnsi="Arial Narrow" w:cs="Arial"/>
                <w:sz w:val="14"/>
                <w:lang w:val="en-GB" w:eastAsia="en-GB" w:bidi="en-GB"/>
              </w:rPr>
              <w:br/>
              <w:t>R</w:t>
            </w:r>
            <w:r w:rsidRPr="00E8013F">
              <w:rPr>
                <w:rFonts w:ascii="Arial Narrow" w:eastAsia="Arial" w:hAnsi="Arial Narrow" w:cs="Arial"/>
                <w:sz w:val="14"/>
                <w:lang w:val="en-GB" w:eastAsia="en-GB" w:bidi="en-GB"/>
              </w:rPr>
              <w:t>ound 2:</w:t>
            </w:r>
            <w:r>
              <w:rPr>
                <w:rFonts w:ascii="Arial Narrow" w:eastAsia="Arial" w:hAnsi="Arial Narrow" w:cs="Arial"/>
                <w:sz w:val="14"/>
                <w:lang w:val="en-GB" w:eastAsia="en-GB" w:bidi="en-GB"/>
              </w:rPr>
              <w:t xml:space="preserve"> </w:t>
            </w:r>
            <w:r w:rsidRPr="00E8013F">
              <w:rPr>
                <w:rFonts w:ascii="Arial Narrow" w:eastAsia="Arial" w:hAnsi="Arial Narrow" w:cs="Arial"/>
                <w:sz w:val="14"/>
                <w:lang w:val="en-GB" w:eastAsia="en-GB" w:bidi="en-GB"/>
              </w:rPr>
              <w:t xml:space="preserve">12 (60%) of 20; </w:t>
            </w:r>
            <w:r>
              <w:rPr>
                <w:rFonts w:ascii="Arial Narrow" w:eastAsia="Arial" w:hAnsi="Arial Narrow" w:cs="Arial"/>
                <w:sz w:val="14"/>
                <w:lang w:val="en-GB" w:eastAsia="en-GB" w:bidi="en-GB"/>
              </w:rPr>
              <w:br/>
              <w:t>R</w:t>
            </w:r>
            <w:r w:rsidRPr="00E8013F">
              <w:rPr>
                <w:rFonts w:ascii="Arial Narrow" w:eastAsia="Arial" w:hAnsi="Arial Narrow" w:cs="Arial"/>
                <w:sz w:val="14"/>
                <w:lang w:val="en-GB" w:eastAsia="en-GB" w:bidi="en-GB"/>
              </w:rPr>
              <w:t>ound 3: 19 (91%)</w:t>
            </w:r>
            <w:r>
              <w:rPr>
                <w:rFonts w:ascii="Arial Narrow" w:eastAsia="Arial" w:hAnsi="Arial Narrow" w:cs="Arial"/>
                <w:sz w:val="14"/>
                <w:lang w:val="en-GB" w:eastAsia="en-GB" w:bidi="en-GB"/>
              </w:rPr>
              <w:t xml:space="preserve"> </w:t>
            </w:r>
            <w:r w:rsidRPr="00E8013F">
              <w:rPr>
                <w:rFonts w:ascii="Arial Narrow" w:eastAsia="Arial" w:hAnsi="Arial Narrow" w:cs="Arial"/>
                <w:sz w:val="14"/>
                <w:lang w:val="en-GB" w:eastAsia="en-GB" w:bidi="en-GB"/>
              </w:rPr>
              <w:t>of 21</w:t>
            </w:r>
          </w:p>
        </w:tc>
        <w:tc>
          <w:tcPr>
            <w:tcW w:w="122" w:type="dxa"/>
            <w:tcBorders>
              <w:left w:val="single" w:sz="2" w:space="0" w:color="006F3C"/>
            </w:tcBorders>
            <w:shd w:val="clear" w:color="auto" w:fill="F4D9DE"/>
          </w:tcPr>
          <w:p w14:paraId="6A4AB4AF" w14:textId="77777777" w:rsidR="00F60DD4" w:rsidRPr="00D751C9" w:rsidRDefault="00F60DD4" w:rsidP="00F60DD4">
            <w:pPr>
              <w:rPr>
                <w:rFonts w:ascii="Times New Roman" w:eastAsia="Arial" w:hAnsi="Arial" w:cs="Arial"/>
                <w:sz w:val="12"/>
                <w:lang w:val="en-GB" w:eastAsia="en-GB" w:bidi="en-GB"/>
              </w:rPr>
            </w:pPr>
          </w:p>
        </w:tc>
      </w:tr>
      <w:tr w:rsidR="00E8013F" w:rsidRPr="00D751C9" w14:paraId="4EF64693" w14:textId="77777777" w:rsidTr="009A7522">
        <w:trPr>
          <w:trHeight w:val="188"/>
        </w:trPr>
        <w:tc>
          <w:tcPr>
            <w:tcW w:w="116" w:type="dxa"/>
            <w:vMerge/>
            <w:tcBorders>
              <w:top w:val="nil"/>
              <w:left w:val="single" w:sz="2" w:space="0" w:color="006F3C"/>
            </w:tcBorders>
            <w:shd w:val="clear" w:color="auto" w:fill="F4D9DE"/>
          </w:tcPr>
          <w:p w14:paraId="3085E2D2" w14:textId="77777777" w:rsidR="00E8013F" w:rsidRPr="00D751C9" w:rsidRDefault="00E8013F" w:rsidP="00F60DD4">
            <w:pPr>
              <w:rPr>
                <w:rFonts w:ascii="Georgia" w:eastAsia="Georgia" w:hAnsi="Georgia" w:cs="Georgia"/>
                <w:sz w:val="2"/>
                <w:szCs w:val="2"/>
                <w:lang w:val="en-GB" w:eastAsia="en-GB" w:bidi="en-GB"/>
              </w:rPr>
            </w:pPr>
          </w:p>
        </w:tc>
        <w:tc>
          <w:tcPr>
            <w:tcW w:w="8551" w:type="dxa"/>
            <w:gridSpan w:val="3"/>
            <w:tcBorders>
              <w:right w:val="single" w:sz="2" w:space="0" w:color="006F3C"/>
            </w:tcBorders>
            <w:shd w:val="clear" w:color="auto" w:fill="F4D9DE"/>
            <w:tcMar>
              <w:top w:w="57" w:type="dxa"/>
              <w:left w:w="57" w:type="dxa"/>
              <w:bottom w:w="57" w:type="dxa"/>
              <w:right w:w="57" w:type="dxa"/>
            </w:tcMar>
          </w:tcPr>
          <w:p w14:paraId="3E2DB447" w14:textId="77777777" w:rsidR="00E8013F" w:rsidRPr="00E8013F" w:rsidRDefault="00E8013F" w:rsidP="00E8013F">
            <w:pPr>
              <w:spacing w:before="23" w:line="145" w:lineRule="exact"/>
              <w:ind w:left="59"/>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The number of panellists answering each question varies because panellists either abstained, did not feel qualified to answer, or did not provide a response.</w:t>
            </w:r>
          </w:p>
          <w:p w14:paraId="132401CE" w14:textId="7A69DCAF" w:rsidR="00E8013F" w:rsidRPr="00D751C9" w:rsidRDefault="00E8013F" w:rsidP="00F60DD4">
            <w:pPr>
              <w:spacing w:before="23" w:line="145" w:lineRule="exact"/>
              <w:ind w:left="63"/>
              <w:rPr>
                <w:rFonts w:ascii="Arial Narrow" w:eastAsia="Arial" w:hAnsi="Arial Narrow" w:cs="Arial"/>
                <w:sz w:val="14"/>
                <w:lang w:val="en-GB" w:eastAsia="en-GB" w:bidi="en-GB"/>
              </w:rPr>
            </w:pPr>
            <w:r w:rsidRPr="00E8013F">
              <w:rPr>
                <w:rFonts w:ascii="Arial Narrow" w:eastAsia="Arial" w:hAnsi="Arial Narrow" w:cs="Arial"/>
                <w:sz w:val="14"/>
                <w:lang w:val="en-GB" w:eastAsia="en-GB" w:bidi="en-GB"/>
              </w:rPr>
              <w:t>PSMA=prostate-specific membrane antigen. PSA=prostate-specific antigen. WB-MRI=whole-body MRI.</w:t>
            </w:r>
          </w:p>
        </w:tc>
        <w:tc>
          <w:tcPr>
            <w:tcW w:w="122" w:type="dxa"/>
            <w:tcBorders>
              <w:left w:val="single" w:sz="2" w:space="0" w:color="006F3C"/>
            </w:tcBorders>
            <w:shd w:val="clear" w:color="auto" w:fill="F4D9DE"/>
          </w:tcPr>
          <w:p w14:paraId="6765FF0B" w14:textId="77777777" w:rsidR="00E8013F" w:rsidRPr="00D751C9" w:rsidRDefault="00E8013F" w:rsidP="00F60DD4">
            <w:pPr>
              <w:rPr>
                <w:rFonts w:ascii="Times New Roman" w:eastAsia="Arial" w:hAnsi="Arial" w:cs="Arial"/>
                <w:sz w:val="12"/>
                <w:lang w:val="en-GB" w:eastAsia="en-GB" w:bidi="en-GB"/>
              </w:rPr>
            </w:pPr>
          </w:p>
        </w:tc>
      </w:tr>
      <w:tr w:rsidR="00E8013F" w:rsidRPr="00D751C9" w14:paraId="2318AA28" w14:textId="77777777" w:rsidTr="009A7522">
        <w:trPr>
          <w:trHeight w:val="339"/>
        </w:trPr>
        <w:tc>
          <w:tcPr>
            <w:tcW w:w="116" w:type="dxa"/>
            <w:tcBorders>
              <w:left w:val="single" w:sz="2" w:space="0" w:color="006F3C"/>
              <w:bottom w:val="single" w:sz="2" w:space="0" w:color="006F3C"/>
            </w:tcBorders>
            <w:shd w:val="clear" w:color="auto" w:fill="F4D9DE"/>
          </w:tcPr>
          <w:p w14:paraId="6AF26BFD" w14:textId="77777777" w:rsidR="00E8013F" w:rsidRPr="00D751C9" w:rsidRDefault="00E8013F" w:rsidP="00F60DD4">
            <w:pPr>
              <w:rPr>
                <w:rFonts w:ascii="Times New Roman" w:eastAsia="Arial" w:hAnsi="Arial" w:cs="Arial"/>
                <w:sz w:val="14"/>
                <w:lang w:val="en-GB" w:eastAsia="en-GB" w:bidi="en-GB"/>
              </w:rPr>
            </w:pPr>
          </w:p>
        </w:tc>
        <w:tc>
          <w:tcPr>
            <w:tcW w:w="8551" w:type="dxa"/>
            <w:gridSpan w:val="3"/>
            <w:tcBorders>
              <w:bottom w:val="single" w:sz="2" w:space="0" w:color="006F3C"/>
              <w:right w:val="single" w:sz="2" w:space="0" w:color="006F3C"/>
            </w:tcBorders>
            <w:shd w:val="clear" w:color="auto" w:fill="F4D9DE"/>
          </w:tcPr>
          <w:p w14:paraId="63812D63" w14:textId="34836A2C" w:rsidR="00E8013F" w:rsidRPr="00E8013F" w:rsidRDefault="00E8013F" w:rsidP="00F60DD4">
            <w:pPr>
              <w:spacing w:before="23"/>
              <w:ind w:left="249"/>
              <w:rPr>
                <w:rFonts w:ascii="Arial Narrow" w:eastAsia="Arial" w:hAnsi="Arial Narrow" w:cs="Arial"/>
                <w:b/>
                <w:sz w:val="14"/>
                <w:lang w:val="en-GB" w:eastAsia="en-GB" w:bidi="en-GB"/>
              </w:rPr>
            </w:pPr>
            <w:r w:rsidRPr="00E8013F">
              <w:rPr>
                <w:rFonts w:ascii="Arial Narrow" w:eastAsia="Arial" w:hAnsi="Arial Narrow" w:cs="Arial"/>
                <w:b/>
                <w:sz w:val="14"/>
                <w:lang w:val="en-GB" w:eastAsia="en-GB" w:bidi="en-GB"/>
              </w:rPr>
              <w:t>Table: EANM consensus outcomes for imaging in prostate cancer</w:t>
            </w:r>
          </w:p>
        </w:tc>
        <w:tc>
          <w:tcPr>
            <w:tcW w:w="122" w:type="dxa"/>
            <w:tcBorders>
              <w:left w:val="single" w:sz="2" w:space="0" w:color="006F3C"/>
              <w:bottom w:val="single" w:sz="2" w:space="0" w:color="006F3C"/>
            </w:tcBorders>
            <w:shd w:val="clear" w:color="auto" w:fill="F4D9DE"/>
          </w:tcPr>
          <w:p w14:paraId="6DB7111E" w14:textId="77777777" w:rsidR="00E8013F" w:rsidRPr="00D751C9" w:rsidRDefault="00E8013F" w:rsidP="00F60DD4">
            <w:pPr>
              <w:rPr>
                <w:rFonts w:ascii="Times New Roman" w:eastAsia="Arial" w:hAnsi="Arial" w:cs="Arial"/>
                <w:sz w:val="14"/>
                <w:lang w:val="en-GB" w:eastAsia="en-GB" w:bidi="en-GB"/>
              </w:rPr>
            </w:pPr>
          </w:p>
        </w:tc>
      </w:tr>
    </w:tbl>
    <w:p w14:paraId="0BEDB689" w14:textId="77777777" w:rsidR="00F60DD4" w:rsidRDefault="00F60DD4">
      <w:pPr>
        <w:sectPr w:rsidR="00F60DD4" w:rsidSect="00F60DD4">
          <w:type w:val="continuous"/>
          <w:pgSz w:w="11910" w:h="16840"/>
          <w:pgMar w:top="2835" w:right="1701" w:bottom="816" w:left="1418" w:header="720" w:footer="11" w:gutter="0"/>
          <w:cols w:space="291"/>
        </w:sectPr>
      </w:pPr>
    </w:p>
    <w:p w14:paraId="2AB1D16F" w14:textId="76112CB9" w:rsidR="00D751C9" w:rsidRDefault="00D751C9">
      <w:pPr>
        <w:rPr>
          <w:rFonts w:ascii="Georgia" w:eastAsia="Georgia" w:hAnsi="Georgia" w:cs="Georgia"/>
          <w:sz w:val="18"/>
          <w:szCs w:val="18"/>
          <w:lang w:val="en-GB" w:eastAsia="en-GB" w:bidi="en-GB"/>
        </w:rPr>
      </w:pPr>
      <w:r>
        <w:br w:type="page"/>
      </w:r>
    </w:p>
    <w:p w14:paraId="4FA46FD3" w14:textId="09A8C59D" w:rsidR="00DF6988" w:rsidRPr="00DF6988" w:rsidRDefault="00DF6988" w:rsidP="00E8013F">
      <w:pPr>
        <w:pStyle w:val="FliesstextSpalten"/>
        <w:ind w:firstLine="0"/>
      </w:pPr>
      <w:r w:rsidRPr="00DF6988">
        <w:lastRenderedPageBreak/>
        <w:t>recommended CT in a minority of patients (based on risk and symptoms), six did not consider it useful, five considered it useful in a minority of patients (if other methods are unavailable), and just two considered it useful in the majority of cases. Consensus on the ineffectiveness of fluoride PET or WB-MRI at biochemical recurrence was reached during round 1.</w:t>
      </w:r>
    </w:p>
    <w:p w14:paraId="7262DD52" w14:textId="77777777" w:rsidR="00DF6988" w:rsidRPr="00DF6988" w:rsidRDefault="00DF6988" w:rsidP="00DF6988">
      <w:pPr>
        <w:pStyle w:val="FliesstextSpalten"/>
      </w:pPr>
      <w:r w:rsidRPr="00DF6988">
        <w:t>The use of multiparametric MRI of the pelvis at</w:t>
      </w:r>
      <w:bookmarkStart w:id="9" w:name="Imaging_of_advanced_prostate_cancer"/>
      <w:bookmarkEnd w:id="9"/>
      <w:r w:rsidRPr="00DF6988">
        <w:t xml:space="preserve"> biochemical recurrence would be recommended depen- ding on clinical factors such as primary therapy methods, pathological status, and PSA kinetics. Among the panellists, pelvic multiparametric MRI is, therefore, more popular than WB-MRI, but the questionnaire did not clarify the primary treatment method in which multiparametric MRI was most relevant.</w:t>
      </w:r>
    </w:p>
    <w:p w14:paraId="55D193AA" w14:textId="77777777" w:rsidR="00DF6988" w:rsidRPr="00DF6988" w:rsidRDefault="00DF6988" w:rsidP="00DF6988">
      <w:pPr>
        <w:pStyle w:val="FliesstextSpalten"/>
      </w:pPr>
      <w:r w:rsidRPr="00DF6988">
        <w:t>The panellists (20 of 22) would recommend prostate cancer-targeted PET at biochemical recurrence to replace conventional imaging methods (bone scintigraphy or CT), and the preferred imaging method was PET-CT with a PSMA-targeting tracer. However, the availability of PSMA tracers is not uniform across cancer centres, and none have been approved by regulatory authorities so far. If the panellists were to use modern imaging methods at biochemical recurrence, 17 of 21 panellists (round 3) would choose prostate cancer-targeted PET-CT alone.</w:t>
      </w:r>
    </w:p>
    <w:p w14:paraId="0D1A3C7B" w14:textId="77777777" w:rsidR="008F699F" w:rsidRDefault="008F699F" w:rsidP="00DF6988">
      <w:pPr>
        <w:pStyle w:val="FliesstextSpalten"/>
        <w:rPr>
          <w:rFonts w:ascii="Arial" w:eastAsia="Arial" w:hAnsi="Arial" w:cs="Arial"/>
          <w:b/>
          <w:bCs/>
          <w:sz w:val="19"/>
          <w:szCs w:val="19"/>
        </w:rPr>
      </w:pPr>
    </w:p>
    <w:p w14:paraId="641ACAC8" w14:textId="502095A8" w:rsidR="00DF6988" w:rsidRPr="00DF6988" w:rsidRDefault="00DF6988" w:rsidP="00C94E0E">
      <w:pPr>
        <w:pStyle w:val="FliesstextSpalten"/>
        <w:ind w:firstLine="0"/>
        <w:rPr>
          <w:rFonts w:ascii="Arial" w:eastAsia="Arial" w:hAnsi="Arial" w:cs="Arial"/>
          <w:b/>
          <w:bCs/>
          <w:sz w:val="19"/>
          <w:szCs w:val="19"/>
        </w:rPr>
      </w:pPr>
      <w:r w:rsidRPr="00DF6988">
        <w:rPr>
          <w:rFonts w:ascii="Arial" w:eastAsia="Arial" w:hAnsi="Arial" w:cs="Arial"/>
          <w:b/>
          <w:bCs/>
          <w:sz w:val="19"/>
          <w:szCs w:val="19"/>
        </w:rPr>
        <w:t>Imaging of advanced prostate cancer</w:t>
      </w:r>
    </w:p>
    <w:p w14:paraId="6B245C62" w14:textId="10B9C2F3" w:rsidR="00DF6988" w:rsidRPr="00DF6988" w:rsidRDefault="00DF6988" w:rsidP="00C94E0E">
      <w:pPr>
        <w:pStyle w:val="FliesstextSpalten"/>
        <w:ind w:firstLine="0"/>
      </w:pPr>
      <w:r w:rsidRPr="00DF6988">
        <w:t>Imaging of advanced prostate cancer represents a wide spectrum of diseases from locally advanced prostate cancer to metastatic castration-resistant prostate cancer. To decide on which patients with advanced prostate cancer should be studied with imaging, panellists again agreed that all patients, both those with non-castration and those with castration-resistant prostate cancer, should be studied. This consensus is slightly different from the EAU-ESTRO-SIOG guidelines,</w:t>
      </w:r>
      <w:r w:rsidRPr="00DF6988">
        <w:rPr>
          <w:position w:val="6"/>
          <w:sz w:val="9"/>
        </w:rPr>
        <w:t xml:space="preserve">13,14 </w:t>
      </w:r>
      <w:r w:rsidRPr="00DF6988">
        <w:t>in that those guidelines recommend additional imaging methods guided by symptoms or possible subsequent treatments.</w:t>
      </w:r>
      <w:r w:rsidRPr="00DF6988">
        <w:rPr>
          <w:position w:val="6"/>
          <w:sz w:val="9"/>
        </w:rPr>
        <w:t xml:space="preserve">24 </w:t>
      </w:r>
      <w:r w:rsidRPr="00DF6988">
        <w:t>Identification of anatomical locations of metastatic disease, evaluation of the extent or volume of local or metastatic disease, evaluation of complications of local or metastatic disease, and monitoring of response to therapy, were all considered important reasons for refer- ring a patient with advanced prostate cancer for imaging.</w:t>
      </w:r>
    </w:p>
    <w:p w14:paraId="6CF91475" w14:textId="77777777" w:rsidR="00DF6988" w:rsidRPr="00DF6988" w:rsidRDefault="00DF6988" w:rsidP="00DF6988">
      <w:pPr>
        <w:pStyle w:val="FliesstextSpalten"/>
      </w:pPr>
      <w:r w:rsidRPr="00DF6988">
        <w:t xml:space="preserve">Bone scintigraphy and CT were considered necessary for most patients with advanced prostate cancer. These results are not exactly in line with guidelines. According to the Cancer Radiographic Assessments for Detection of Advanced Recurrence Group, bone scintigraphy and CT are recommended in </w:t>
      </w:r>
      <w:r w:rsidRPr="00DF6988">
        <w:t>the context of their availability and cost-effectiveness, and additional tests are recom- mended instead (eg, plain radiography, MRI, and NaF PET), the modality of which is to be decided at the physician’s discretion.</w:t>
      </w:r>
      <w:r w:rsidRPr="00DF6988">
        <w:rPr>
          <w:position w:val="6"/>
          <w:sz w:val="9"/>
        </w:rPr>
        <w:t xml:space="preserve">41 </w:t>
      </w:r>
      <w:r w:rsidRPr="00DF6988">
        <w:t>Consensus on fluoride PET-CT was reached, and the panellists (19 of 21) would not recommend it for patients with advanced prostate cancer. Consensus was not achieved on the recommendation of WB-MRI in patients with advanced prostate cancer:</w:t>
      </w:r>
    </w:p>
    <w:p w14:paraId="2A92CC42" w14:textId="77777777" w:rsidR="00DF6988" w:rsidRPr="00DF6988" w:rsidRDefault="00DF6988" w:rsidP="00DF6988">
      <w:pPr>
        <w:pStyle w:val="FliesstextSpalten"/>
      </w:pPr>
      <w:r w:rsidRPr="00DF6988">
        <w:t>12  of  21  would  not  recommend  using  it,  whereas</w:t>
      </w:r>
    </w:p>
    <w:p w14:paraId="5CB2CE46" w14:textId="77777777" w:rsidR="00DF6988" w:rsidRPr="00DF6988" w:rsidRDefault="00DF6988" w:rsidP="00DF6988">
      <w:pPr>
        <w:pStyle w:val="FliesstextSpalten"/>
      </w:pPr>
      <w:r w:rsidRPr="00DF6988">
        <w:t>four would for a minority of patients, three in a majority of patients to replace conventional imaging methods, and two as a complementary method to conventional imaging. For pelvic multiparametric MRI, the consensus (15 of 21) was to recommend it for a minority of patients, if available, to replace conventional imaging to look for local pelvic complications, such as bladder and rectal invasion. Although prostate multiparametric MRI is becoming standard for guiding prostate biopsies in patients with suspected cancer, in the setting of advanced prostate cancer, the recommendations from the panellists focused on multiparametric MRI use for staging locally advanced disease and not for guiding prostate biopsies.</w:t>
      </w:r>
    </w:p>
    <w:p w14:paraId="6AA42BCF" w14:textId="38CF4976" w:rsidR="00DF6988" w:rsidRPr="00DF6988" w:rsidRDefault="00DF6988" w:rsidP="00C94E0E">
      <w:pPr>
        <w:pStyle w:val="FliesstextSpalten"/>
      </w:pPr>
      <w:r w:rsidRPr="00DF6988">
        <w:t>Combined pelvic MRI with WB-MRI can detect bone</w:t>
      </w:r>
      <w:r w:rsidR="00C94E0E">
        <w:t xml:space="preserve"> </w:t>
      </w:r>
      <w:r w:rsidRPr="00DF6988">
        <w:t>metastases with a higher sensitivity than bone scinti- graphy with at least comparative performance to choline PET-CT. A distinct need exists, however, to standardise WB-MRI to assess its performance in advanced prostate cancer clinical trials, and probably to compare it to PSMA-targeted PET-CT, which is emerging as the prefer- red whole-body imaging technique.</w:t>
      </w:r>
      <w:r w:rsidRPr="00DF6988">
        <w:rPr>
          <w:position w:val="6"/>
          <w:sz w:val="9"/>
        </w:rPr>
        <w:t xml:space="preserve">42,43 </w:t>
      </w:r>
      <w:r w:rsidRPr="00DF6988">
        <w:t>With respect to prostate cancer-targeted PET in patients with advanced prostate cancer, the opinions of the panellists varied substantially. At the third round of the modified Delphi process, the majority of panellists (11 of 21) responded that they would recommend it for the majority of patients to replace conventional imaging methods, five panellists would use it for a minority of patients based on risk and symptoms, three as a complementary method to con- ventional imaging (bone scintigraphy or CT), one would recommend it in a minority of patients, if available, to replace conventional imaging, and one panellist would not recommend prostate cancer-targeted PET for any patients with advanced prostate cancer.</w:t>
      </w:r>
    </w:p>
    <w:p w14:paraId="29E05B7E" w14:textId="1465D4D9" w:rsidR="00DF6988" w:rsidRPr="00DF6988" w:rsidRDefault="00DF6988" w:rsidP="00DF6988">
      <w:pPr>
        <w:pStyle w:val="FliesstextSpalten"/>
      </w:pPr>
      <w:r w:rsidRPr="00DF6988">
        <w:t>When using prostate cancer-targeted PET in patients</w:t>
      </w:r>
      <w:r w:rsidR="00C94E0E">
        <w:t xml:space="preserve"> </w:t>
      </w:r>
      <w:r w:rsidRPr="00DF6988">
        <w:t xml:space="preserve">with advanced prostate cancer, 20 of 23 panellists had reached a consensus in round 1 in which it was agreed that a PSMA-targeted drug should be the preferred tracer. For the form of imaging to recommend for the majority of men with advanced </w:t>
      </w:r>
      <w:r w:rsidRPr="00DF6988">
        <w:lastRenderedPageBreak/>
        <w:t>prostate cancer, the panellists were divided in their opinions: ten of 21 recommended CT or bone scintigraphy, seven recommended prostate</w:t>
      </w:r>
      <w:r>
        <w:t xml:space="preserve"> </w:t>
      </w:r>
      <w:r w:rsidRPr="00DF6988">
        <w:t>cancer-targeted PET, and four recommended modern imaging methods (MRI and PET). Imagers must design more appropriate trials so that referring clinicians can be provided with more comparative scientific data on relative utility.</w:t>
      </w:r>
    </w:p>
    <w:p w14:paraId="1F22C4C5" w14:textId="77777777" w:rsidR="00DF6988" w:rsidRPr="00DF6988" w:rsidRDefault="00DF6988" w:rsidP="00DF6988">
      <w:pPr>
        <w:pStyle w:val="FliesstextSpalten"/>
      </w:pPr>
      <w:r w:rsidRPr="00DF6988">
        <w:t>Considering modern imaging methods (MRI and PET) in patients with advanced prostate cancer, the consensus opinion of panellists was to do prostate cancer-targeted PET for detecting metastases  (16  of  22  panellists). In terms of detection, based on available data, PSMA- PET is superior, but WB-MRI could have advantages for response assessment.</w:t>
      </w:r>
    </w:p>
    <w:p w14:paraId="13E384CC" w14:textId="77777777" w:rsidR="00DF6988" w:rsidRPr="00DF6988" w:rsidRDefault="00DF6988" w:rsidP="00DF6988">
      <w:pPr>
        <w:pStyle w:val="FliesstextSpalten"/>
      </w:pPr>
      <w:r w:rsidRPr="00DF6988">
        <w:t>With respect to the precise method preferred for identifying specific lesions or for addressing specific clinical problems, consensus was not achieved. Panellists had a wide range of opinions concerning the imaging method for the identification of bone metastases in patients with advanced prostate cancer: ten of 21 chose prostate cancer-targeted PET and six chose WB-MRI. To evaluate the extent of the disease in patients with advanced prostate cancer, 16 of 20 preferred prostate</w:t>
      </w:r>
      <w:bookmarkStart w:id="10" w:name="Therapy_of_metastatic_castration-resista"/>
      <w:bookmarkEnd w:id="10"/>
      <w:r w:rsidRPr="00DF6988">
        <w:t xml:space="preserve"> cancer-targeted PET as the imaging method.</w:t>
      </w:r>
    </w:p>
    <w:p w14:paraId="1A6A47AD" w14:textId="77777777" w:rsidR="00DF6988" w:rsidRPr="00DF6988" w:rsidRDefault="00DF6988" w:rsidP="00DF6988">
      <w:pPr>
        <w:pStyle w:val="FliesstextSpalten"/>
        <w:rPr>
          <w:sz w:val="16"/>
        </w:rPr>
      </w:pPr>
    </w:p>
    <w:p w14:paraId="7ED23DE4" w14:textId="77777777" w:rsidR="008F699F" w:rsidRDefault="00DF6988" w:rsidP="008F699F">
      <w:pPr>
        <w:pStyle w:val="Headline-SUB"/>
      </w:pPr>
      <w:r w:rsidRPr="00DF6988">
        <w:t xml:space="preserve">Therapy of metastatic castration-resistant prostate cancer with radiopharmaceuticals targeting bone </w:t>
      </w:r>
    </w:p>
    <w:p w14:paraId="7A4C68D9" w14:textId="428EE41E" w:rsidR="00DF6988" w:rsidRPr="00DF6988" w:rsidRDefault="00DF6988" w:rsidP="00C94E0E">
      <w:pPr>
        <w:pStyle w:val="FliesstextSpalten"/>
        <w:ind w:firstLine="0"/>
      </w:pPr>
      <w:r w:rsidRPr="00DF6988">
        <w:t>Predictably, qualification of patients with metastatic castration-resistant prostate cancer for treatment with therapeutic radiopharmaceuticals varies as a function of available radiopharmaceuticals and respective indi- cations; approval and reimbursement issues should also be considered.</w:t>
      </w:r>
    </w:p>
    <w:p w14:paraId="605F4517" w14:textId="77777777" w:rsidR="00DF6988" w:rsidRPr="00DF6988" w:rsidRDefault="00DF6988" w:rsidP="00DF6988">
      <w:pPr>
        <w:pStyle w:val="FliesstextSpalten"/>
      </w:pPr>
      <w:r w:rsidRPr="00DF6988">
        <w:t>The panellists did not reach consensus regarding when to give radium-223 treatment for patients with metastatic castration-resistant prostate cancer. A clear division was apparent in round 3 between those panellists who would refer all patients with bone lesions and no visceral lesions and treated with, or unfit for, docetaxel and abiraterone or enzalutamide (11 of 20), and those who would refer patients with symptomatic bone lesions and no visceral lesions before using other life-prolonging therapy (eight of 20). According to ESMO 2015,</w:t>
      </w:r>
      <w:r w:rsidRPr="00DF6988">
        <w:rPr>
          <w:position w:val="6"/>
          <w:sz w:val="9"/>
        </w:rPr>
        <w:t xml:space="preserve">44 </w:t>
      </w:r>
      <w:r w:rsidRPr="00DF6988">
        <w:t>radium-223 is recommended for bone-predominant, symptomatic metastatic castration-resistant prostate cancer without visceral metastases; according to NCCN 2016,</w:t>
      </w:r>
      <w:r w:rsidRPr="00DF6988">
        <w:rPr>
          <w:position w:val="6"/>
          <w:sz w:val="9"/>
        </w:rPr>
        <w:t xml:space="preserve">45 </w:t>
      </w:r>
      <w:r w:rsidRPr="00DF6988">
        <w:t>radium-223 is indicated for symptomatic bone metastases (first-line use) or for bone-predominant disease (after systemic therapy) and no visceral metastases.</w:t>
      </w:r>
    </w:p>
    <w:p w14:paraId="41EA71BA" w14:textId="77777777" w:rsidR="00DF6988" w:rsidRPr="00DF6988" w:rsidRDefault="00DF6988" w:rsidP="00DF6988">
      <w:pPr>
        <w:pStyle w:val="FliesstextSpalten"/>
      </w:pPr>
      <w:r w:rsidRPr="00DF6988">
        <w:t>The panellists would recommend almost no patients</w:t>
      </w:r>
    </w:p>
    <w:p w14:paraId="5A19B566" w14:textId="77777777" w:rsidR="00DF6988" w:rsidRPr="00DF6988" w:rsidRDefault="00DF6988" w:rsidP="00DF6988">
      <w:pPr>
        <w:pStyle w:val="FliesstextSpalten"/>
      </w:pPr>
      <w:r w:rsidRPr="00DF6988">
        <w:t>for palliative treatment with bone-targeting radio- pharmaceuticals  (eg,  rhenium-186,  samarium-153, or strontium-89). These treatments are falling out of favour with the oncology community, and new systemic therapies exist that also target soft tissue disease and appear to be as effective as traditional radiopharma- ceuticals.</w:t>
      </w:r>
    </w:p>
    <w:p w14:paraId="439005A0" w14:textId="514164A6" w:rsidR="00DF6988" w:rsidRPr="00DF6988" w:rsidRDefault="00DF6988" w:rsidP="00DF6988">
      <w:pPr>
        <w:pStyle w:val="FliesstextSpalten"/>
      </w:pPr>
      <w:r w:rsidRPr="00DF6988">
        <w:t>For treatment with prostate cancer-directed PSMA therapeutic radiopharmaceuticals, the consensus (13 of</w:t>
      </w:r>
      <w:r>
        <w:t xml:space="preserve"> </w:t>
      </w:r>
      <w:r w:rsidRPr="00DF6988">
        <w:t>17 panellists) was that patients with metastatic disease (bone and nodal lesions) already treated with all other available life-prolonging therapies or with contraindi- cations for them could be considered for referral for such treatment, with lutetium-177 PSMA being the only one with data in a larger number of patients. One study found ⁶⁸Ga-PSMA-HBED-CC PET imaging to be more accurate than morphological imaging in detecting lymph node metastases in patients with biochemical recur- rence,</w:t>
      </w:r>
      <w:r w:rsidRPr="00DF6988">
        <w:rPr>
          <w:position w:val="6"/>
          <w:sz w:val="9"/>
        </w:rPr>
        <w:t xml:space="preserve">46 </w:t>
      </w:r>
      <w:r w:rsidRPr="00DF6988">
        <w:t>whereas another showed that PSMA PET was independently predictive of treatment response to salvage radiotherapy in men with rising PSA concentrations after radical prostatectomy.</w:t>
      </w:r>
      <w:r w:rsidRPr="00DF6988">
        <w:rPr>
          <w:position w:val="6"/>
          <w:sz w:val="9"/>
        </w:rPr>
        <w:t xml:space="preserve">47 </w:t>
      </w:r>
      <w:r w:rsidRPr="00DF6988">
        <w:t>A post-hoc analysis of</w:t>
      </w:r>
    </w:p>
    <w:p w14:paraId="073490AA" w14:textId="77777777" w:rsidR="00DF6988" w:rsidRPr="00DF6988" w:rsidRDefault="00DF6988" w:rsidP="00DF6988">
      <w:pPr>
        <w:pStyle w:val="FliesstextSpalten"/>
      </w:pPr>
      <w:r w:rsidRPr="00DF6988">
        <w:t>⁶⁸Ga-PSMA-11 PET-CT mapping of prostate cancer biochemical recurrence was promising in another study, in that 52 of 270 patients had at least one PSMA-11- positive lesion not covered by the consensus clinical target volumes.</w:t>
      </w:r>
      <w:r w:rsidRPr="00DF6988">
        <w:rPr>
          <w:position w:val="6"/>
          <w:sz w:val="9"/>
        </w:rPr>
        <w:t xml:space="preserve">48 </w:t>
      </w:r>
      <w:r w:rsidRPr="00DF6988">
        <w:t>A phase 2 trial in 43 men with metastatic castration-resistant prostate cancer who progressed after conventional treatments showed high responses and low toxicity following treatment with ¹⁷⁷Lu-PSMA-617.</w:t>
      </w:r>
      <w:r w:rsidRPr="00DF6988">
        <w:rPr>
          <w:position w:val="6"/>
          <w:sz w:val="9"/>
        </w:rPr>
        <w:t xml:space="preserve">49 </w:t>
      </w:r>
      <w:r w:rsidRPr="00DF6988">
        <w:t>However, little evidence exists for the established treatments when they are used as third-line treatments.</w:t>
      </w:r>
    </w:p>
    <w:p w14:paraId="069E6C74" w14:textId="77777777" w:rsidR="00DF6988" w:rsidRPr="00DF6988" w:rsidRDefault="00DF6988" w:rsidP="00DF6988">
      <w:pPr>
        <w:pStyle w:val="FliesstextSpalten"/>
      </w:pPr>
      <w:r w:rsidRPr="00DF6988">
        <w:t>Intermediate-term outcome for patients with recurrent high-risk prostate cancer showed PSMA-PET-guided planning of radiotherapy had well tolerated treatment toxicity and led to change of treatment in the majority of patients.</w:t>
      </w:r>
      <w:r w:rsidRPr="00DF6988">
        <w:rPr>
          <w:position w:val="6"/>
          <w:sz w:val="9"/>
        </w:rPr>
        <w:t xml:space="preserve">50 </w:t>
      </w:r>
      <w:r w:rsidRPr="00DF6988">
        <w:t>Similarly, PSMA-PET-CT-based radiotherapy in patients with biochemical recurrence after radical prostatectomy showed significant PSA response and led to deferral of long-term androgen-deprivation therapy or systemic therapy.</w:t>
      </w:r>
      <w:r w:rsidRPr="00DF6988">
        <w:rPr>
          <w:position w:val="6"/>
          <w:sz w:val="9"/>
        </w:rPr>
        <w:t xml:space="preserve">51 </w:t>
      </w:r>
      <w:r w:rsidRPr="00DF6988">
        <w:t>These results all warrant further study, and level 1 evidence to support PSMA therapy is awaited.</w:t>
      </w:r>
      <w:r w:rsidRPr="00DF6988">
        <w:rPr>
          <w:position w:val="6"/>
          <w:sz w:val="9"/>
        </w:rPr>
        <w:t xml:space="preserve">52 </w:t>
      </w:r>
      <w:r w:rsidRPr="00DF6988">
        <w:t>The panellists showed a clear preference for PSMA, not only among the nuclear medicine physicians, but also among the clinicians. Indeed, fluciclovine (fluorine-18) has been approved for detecting suspected recurrent disease, and fluciclovine and choline have a commercial licence, whereas PSMA is not approved in several countries.</w:t>
      </w:r>
    </w:p>
    <w:p w14:paraId="06B35571" w14:textId="77777777" w:rsidR="00DF6988" w:rsidRPr="00DF6988" w:rsidRDefault="00DF6988" w:rsidP="00DF6988">
      <w:pPr>
        <w:pStyle w:val="FliesstextSpalten"/>
      </w:pPr>
      <w:r w:rsidRPr="00DF6988">
        <w:t>The consensus (16 of 19 panellists) was that therapy</w:t>
      </w:r>
    </w:p>
    <w:p w14:paraId="28E1857A" w14:textId="77777777" w:rsidR="00DF6988" w:rsidRPr="00DF6988" w:rsidRDefault="00DF6988" w:rsidP="00DF6988">
      <w:pPr>
        <w:pStyle w:val="FliesstextSpalten"/>
        <w:rPr>
          <w:sz w:val="9"/>
        </w:rPr>
      </w:pPr>
      <w:r w:rsidRPr="00DF6988">
        <w:lastRenderedPageBreak/>
        <w:t>with PSMA radiopharmaceuticals should only be con- sidered within the framework of appropriate clinical trials that might eventually lead to introduction of radiopharmaceuticals into clinical practice.</w:t>
      </w:r>
      <w:r w:rsidRPr="00DF6988">
        <w:rPr>
          <w:position w:val="6"/>
          <w:sz w:val="9"/>
        </w:rPr>
        <w:t>53</w:t>
      </w:r>
    </w:p>
    <w:p w14:paraId="6ECA605A" w14:textId="77777777" w:rsidR="00DF6988" w:rsidRPr="00DF6988" w:rsidRDefault="00DF6988" w:rsidP="00DF6988">
      <w:pPr>
        <w:pStyle w:val="FliesstextSpalten"/>
      </w:pPr>
      <w:r w:rsidRPr="00DF6988">
        <w:t>Regarding the choice of therapeutic radiopharma- ceuticals, consensus (16 of 20) was reached in support of radium-223, mainly in relation to the completed registration trial and marketing authorisation.</w:t>
      </w:r>
      <w:r w:rsidRPr="00DF6988">
        <w:rPr>
          <w:position w:val="6"/>
          <w:sz w:val="9"/>
        </w:rPr>
        <w:t xml:space="preserve">54 </w:t>
      </w:r>
      <w:r w:rsidRPr="00DF6988">
        <w:t>With respect to radium-223 treatment associated with other prostate cancer-specific therapies, consensus (18 of 20) was for the use of such combinations only within an appropriate clinical trial.</w:t>
      </w:r>
    </w:p>
    <w:p w14:paraId="0779BEE3" w14:textId="629D62B7" w:rsidR="00DF6988" w:rsidRDefault="00DF6988" w:rsidP="00DF6988">
      <w:pPr>
        <w:pStyle w:val="FliesstextSpalten"/>
      </w:pPr>
      <w:r w:rsidRPr="00DF6988">
        <w:t>For imaging methods to evaluate radium-223 treat- ment, 19 of 21 panellists would recommend bone scintigraphy as the imaging method before radium-223 treatment, in line with St Gallen consensus.</w:t>
      </w:r>
      <w:r w:rsidRPr="00DF6988">
        <w:rPr>
          <w:position w:val="6"/>
          <w:sz w:val="9"/>
        </w:rPr>
        <w:t xml:space="preserve">11 </w:t>
      </w:r>
      <w:r w:rsidRPr="00DF6988">
        <w:t>Pending</w:t>
      </w:r>
      <w:r>
        <w:t xml:space="preserve"> </w:t>
      </w:r>
      <w:r w:rsidRPr="00DF6988">
        <w:t>the results of ongoing clinical trials (eg, NCT02813226 and NCT02856100), no consensus was attained on the imaging methods to use for monitoring response to</w:t>
      </w:r>
      <w:bookmarkStart w:id="11" w:name="Specific_areas_of_consensus_on_imaging"/>
      <w:bookmarkEnd w:id="11"/>
      <w:r w:rsidRPr="00DF6988">
        <w:t xml:space="preserve"> therapy, with the majority (14 of 21) of panellists again in favour of bone scintigraphy.</w:t>
      </w:r>
      <w:r w:rsidRPr="00DF6988">
        <w:rPr>
          <w:position w:val="6"/>
          <w:sz w:val="9"/>
        </w:rPr>
        <w:t xml:space="preserve">11 </w:t>
      </w:r>
      <w:r w:rsidRPr="00DF6988">
        <w:t>It was noted that bone scintigraphy is needed to determine dose.</w:t>
      </w:r>
    </w:p>
    <w:p w14:paraId="4AE0EF4E" w14:textId="77777777" w:rsidR="008F699F" w:rsidRPr="00DF6988" w:rsidRDefault="008F699F" w:rsidP="00DF6988">
      <w:pPr>
        <w:pStyle w:val="FliesstextSpalten"/>
      </w:pPr>
    </w:p>
    <w:p w14:paraId="649CCF3F" w14:textId="77777777" w:rsidR="00DF6988" w:rsidRPr="00DF6988" w:rsidRDefault="00DF6988" w:rsidP="008F699F">
      <w:pPr>
        <w:pStyle w:val="Headlines"/>
      </w:pPr>
      <w:bookmarkStart w:id="12" w:name="Discussion"/>
      <w:bookmarkStart w:id="13" w:name="Guidelines_and_consensus"/>
      <w:bookmarkEnd w:id="12"/>
      <w:bookmarkEnd w:id="13"/>
      <w:r w:rsidRPr="00DF6988">
        <w:t>Discussion</w:t>
      </w:r>
    </w:p>
    <w:p w14:paraId="6EC79A59" w14:textId="77777777" w:rsidR="00DF6988" w:rsidRPr="00DF6988" w:rsidRDefault="00DF6988" w:rsidP="008F699F">
      <w:pPr>
        <w:pStyle w:val="Headline-SUB"/>
      </w:pPr>
      <w:r w:rsidRPr="00DF6988">
        <w:t>Guidelines and consensus</w:t>
      </w:r>
    </w:p>
    <w:p w14:paraId="7A7928D6" w14:textId="77777777" w:rsidR="00DF6988" w:rsidRPr="00DF6988" w:rsidRDefault="00DF6988" w:rsidP="00C94E0E">
      <w:pPr>
        <w:pStyle w:val="FliesstextSpalten"/>
        <w:ind w:firstLine="0"/>
        <w:rPr>
          <w:sz w:val="9"/>
        </w:rPr>
      </w:pPr>
      <w:r w:rsidRPr="00DF6988">
        <w:t>Development of guidelines and consensus statements is of paramount importance for the medical community to guide clinical decision making. The availability of an increasing number of diagnostic and therapeutic options for prostate cancer requires careful decision making to optimise the use of resources, while appreciating that evidence-based data, such as systematic reviews and meta-analyses, are not always sufficient to inform appropriate use of medical options.</w:t>
      </w:r>
      <w:r w:rsidRPr="00DF6988">
        <w:rPr>
          <w:position w:val="6"/>
          <w:sz w:val="9"/>
        </w:rPr>
        <w:t>55</w:t>
      </w:r>
    </w:p>
    <w:p w14:paraId="15209826" w14:textId="77777777" w:rsidR="00DF6988" w:rsidRPr="00DF6988" w:rsidRDefault="00DF6988" w:rsidP="00DF6988">
      <w:pPr>
        <w:pStyle w:val="FliesstextSpalten"/>
      </w:pPr>
      <w:r w:rsidRPr="00DF6988">
        <w:t>To address the clinical need for up-to-date imaging guidance on state-of-the-art evidence accumulation, and potential clinical utility, we established a multi- disciplinary panel with representation of all involved specialties, with similar numbers of oncologists, urolo- gists, radiation oncologists, radiologists, and nuclear medicine specialists to generate more balanced state- ments on imaging uses for prostate cancer care. The choice of topics was limited to clinically relevant patient grouping, and the positioning of cross-sectional imaging and therapeutic nuclear medicine procedures defined by the organisers of the EANM consensus meeting.</w:t>
      </w:r>
    </w:p>
    <w:p w14:paraId="1E79ADC4" w14:textId="77777777" w:rsidR="00DF6988" w:rsidRPr="00DF6988" w:rsidRDefault="00DF6988" w:rsidP="00DF6988">
      <w:pPr>
        <w:pStyle w:val="FliesstextSpalten"/>
      </w:pPr>
      <w:r w:rsidRPr="00DF6988">
        <w:t xml:space="preserve">We recognise that rapid developments in imaging pose multiple issues when developing guidelines. New methods such as MRI and PET are often adopted into clinical practice before evidence-generating clinical </w:t>
      </w:r>
      <w:r w:rsidRPr="00DF6988">
        <w:t>trials are done, resulting in a subsequent substantial increase in their use. With the growth in the use of medical imaging, concern that not all investigations are necessary has emerged, and it is argued that up to 40% of diagnostic imaging studies might be inappropriate.</w:t>
      </w:r>
      <w:r w:rsidRPr="00DF6988">
        <w:rPr>
          <w:position w:val="6"/>
          <w:sz w:val="9"/>
        </w:rPr>
        <w:t xml:space="preserve">56 </w:t>
      </w:r>
      <w:r w:rsidRPr="00DF6988">
        <w:t>Furthermore, intrinsic problems exist in building evidence-based literature for diagnostic imaging,</w:t>
      </w:r>
      <w:r w:rsidRPr="00DF6988">
        <w:rPr>
          <w:position w:val="6"/>
          <w:sz w:val="9"/>
        </w:rPr>
        <w:t xml:space="preserve">57 </w:t>
      </w:r>
      <w:r w:rsidRPr="00DF6988">
        <w:t>and these factors have led to disagreement in the field of prostate cancer. For example, at the 2017 Advanced Prostate Cancer Consensus Conference held in St Gallen, Switzerland, no consensus was reached on most questions related to advanced prostate cancer imaging.</w:t>
      </w:r>
      <w:r w:rsidRPr="00DF6988">
        <w:rPr>
          <w:position w:val="6"/>
          <w:sz w:val="9"/>
        </w:rPr>
        <w:t xml:space="preserve">11 </w:t>
      </w:r>
      <w:r w:rsidRPr="00DF6988">
        <w:t>However, the 2017 Advanced Prostate Cancer Consensus Conference was based on one round of questions that were answered at the conference itself. Although questions were circulated three times to improve precision, only clinicians were allowed to answer, not imaging specialists, because most questions dealt with therapy issues.</w:t>
      </w:r>
    </w:p>
    <w:p w14:paraId="2F1EC3A9" w14:textId="3BCB8BAE" w:rsidR="00DF6988" w:rsidRPr="00DF6988" w:rsidRDefault="00DF6988" w:rsidP="00DF6988">
      <w:pPr>
        <w:pStyle w:val="FliesstextSpalten"/>
      </w:pPr>
      <w:r w:rsidRPr="00DF6988">
        <w:t>EANM Focus 1 adopted a different strategy. We did a</w:t>
      </w:r>
      <w:r w:rsidR="00C94E0E">
        <w:t xml:space="preserve"> </w:t>
      </w:r>
      <w:r w:rsidRPr="00DF6988">
        <w:t>systematic review of the literature, used this review to construct a questionnaire that was reviewed by expert panellists, and used a modified Delphi method to achieve consensus on clinically relevant imaging topics with a</w:t>
      </w:r>
      <w:r>
        <w:t xml:space="preserve"> </w:t>
      </w:r>
      <w:r w:rsidRPr="00DF6988">
        <w:t>more balanced multidisciplinary group of panellists. We observed good agreement (&gt;70% of consensus) on 36 of 47 questions.</w:t>
      </w:r>
    </w:p>
    <w:p w14:paraId="4A44F014" w14:textId="77777777" w:rsidR="00DF6988" w:rsidRPr="00DF6988" w:rsidRDefault="00DF6988" w:rsidP="00DF6988">
      <w:pPr>
        <w:pStyle w:val="FliesstextSpalten"/>
      </w:pPr>
    </w:p>
    <w:p w14:paraId="51BB0642" w14:textId="77777777" w:rsidR="00DF6988" w:rsidRPr="00DF6988" w:rsidRDefault="00DF6988" w:rsidP="008F699F">
      <w:pPr>
        <w:pStyle w:val="Headline-SUB"/>
      </w:pPr>
      <w:r w:rsidRPr="00DF6988">
        <w:t>Specific areas of consensus on imaging</w:t>
      </w:r>
    </w:p>
    <w:p w14:paraId="0EEBE766" w14:textId="77777777" w:rsidR="00DF6988" w:rsidRPr="00DF6988" w:rsidRDefault="00DF6988" w:rsidP="00DF6988">
      <w:pPr>
        <w:pStyle w:val="FliesstextSpalten"/>
      </w:pPr>
      <w:r w:rsidRPr="00DF6988">
        <w:t>In all four covered clinical scenarios (staging, biochemical recurrence, advanced prostate cancer,  and  therapy for metastatic castration-resistant prostate cancer), con- sensus was reached regarding patient selection for imaging procedures (questions 1, 8, 11, 23, and 24; table); this consensus is a relevant and qualifying point because patient selection is not mentioned in most guidelines. The panellists agreed that at presentation only intermediate and high-risk patients should be studied with imaging methods. At biochemical recurrence and in presence of advanced disease all patients with prostate cancer (whether castration naive or resistant) should be studied with imaging.</w:t>
      </w:r>
    </w:p>
    <w:p w14:paraId="55DE996C" w14:textId="5B615EE5" w:rsidR="00DF6988" w:rsidRPr="00DF6988" w:rsidRDefault="00DF6988" w:rsidP="00C94E0E">
      <w:pPr>
        <w:pStyle w:val="FliesstextSpalten"/>
      </w:pPr>
      <w:r w:rsidRPr="00DF6988">
        <w:t>With respect to specific imaging methods, bone</w:t>
      </w:r>
      <w:r w:rsidR="00C94E0E">
        <w:t xml:space="preserve"> </w:t>
      </w:r>
      <w:r w:rsidRPr="00DF6988">
        <w:t xml:space="preserve">scintigraphy was not recommended as a procedure applicable to most patients. The consensus among most panellists was that bone scintigraphy should be used in only a selected minority of patients at staging and at biochemical recurrence. Although no consensus was attained on the use of bone scintigraphy in advanced prostate cancer, 13 of 22 of the panellists did consider bone scintigraphy to still be necessary in this setting. These results differ </w:t>
      </w:r>
      <w:r w:rsidRPr="00DF6988">
        <w:lastRenderedPageBreak/>
        <w:t>substantially from widely used clinical guidelines, in which bone scintigraphy is still regarded as a valuable imaging method. For example, EAU recommend that, for M staging at presentation, bone scanning should be performed in symptomatic patients, independent of PSA level, Gleason score, or clinical stage.</w:t>
      </w:r>
      <w:r w:rsidRPr="00DF6988">
        <w:rPr>
          <w:position w:val="6"/>
          <w:sz w:val="9"/>
        </w:rPr>
        <w:t xml:space="preserve">13,14 </w:t>
      </w:r>
      <w:r w:rsidRPr="00DF6988">
        <w:t>Data in the published literature that report a composite sensitivity for bone scintigraphy of 79% and specificity of 82%,</w:t>
      </w:r>
      <w:r w:rsidRPr="00DF6988">
        <w:rPr>
          <w:position w:val="6"/>
          <w:sz w:val="9"/>
        </w:rPr>
        <w:t xml:space="preserve">15 </w:t>
      </w:r>
      <w:r w:rsidRPr="00DF6988">
        <w:t>its ready availability, and its low cost, which have justified its use in the past, are clearly no longer considered relevant factors for continual use. A larger proportion of experts at this meeting probably have had either more experience of advanced imaging techniques or more exposure to information about these techniques than the general prostate cancer community, given that they are experts in the field and generally from centres of excellence.</w:t>
      </w:r>
    </w:p>
    <w:p w14:paraId="2E5F488F" w14:textId="3F153575" w:rsidR="00DF6988" w:rsidRPr="00DF6988" w:rsidRDefault="00DF6988" w:rsidP="00DF6988">
      <w:pPr>
        <w:pStyle w:val="FliesstextSpalten"/>
        <w:rPr>
          <w:sz w:val="9"/>
        </w:rPr>
      </w:pPr>
      <w:r w:rsidRPr="00DF6988">
        <w:t>With regards to the use of CT, 18 of 21 of the panellists</w:t>
      </w:r>
      <w:r w:rsidR="00C94E0E">
        <w:t xml:space="preserve"> </w:t>
      </w:r>
      <w:r w:rsidRPr="00DF6988">
        <w:t>considered CT necessary in the majority of patients with advanced prostate cancer. Some panellists suggested using CT in the  majority  of  patients  for  staging  (five of 22) and at biochemical recurrence (six of 21). CT, like bone scintigraphy, is still mentioned in most existing guidelines. For example, the 2016 NCCN guide- lines for prostate cancer recurrence states that imaging should include chest x-ray, bone scan, and abdominal and pelvic CT or MRI with or without contrast.</w:t>
      </w:r>
      <w:r w:rsidRPr="00DF6988">
        <w:rPr>
          <w:position w:val="6"/>
          <w:sz w:val="9"/>
        </w:rPr>
        <w:t>58</w:t>
      </w:r>
    </w:p>
    <w:p w14:paraId="5577CD6E" w14:textId="77777777" w:rsidR="00DF6988" w:rsidRPr="00DF6988" w:rsidRDefault="00DF6988" w:rsidP="00DF6988">
      <w:pPr>
        <w:pStyle w:val="FliesstextSpalten"/>
        <w:rPr>
          <w:sz w:val="9"/>
        </w:rPr>
      </w:pPr>
      <w:r w:rsidRPr="00DF6988">
        <w:t>The panellists reached the consensus that they would not recommend fluoride PET in any clinical scenario</w:t>
      </w:r>
      <w:r>
        <w:t xml:space="preserve">, despite data in the published literature indicating a </w:t>
      </w:r>
      <w:r w:rsidRPr="00DF6988">
        <w:t>pooled sensitivity of 86·9% and specificity of 79·9%.  It could be speculated that the small advantage in terms of diagnostic accuracy over bone scintigraphy is not considered sufficient to justify the higher costs. However, it has also been remarked that PET-CT could increase efficiency and, thereby, save costs through improved diagnosis and clinical decision making.</w:t>
      </w:r>
      <w:r w:rsidRPr="00DF6988">
        <w:rPr>
          <w:position w:val="6"/>
          <w:sz w:val="9"/>
        </w:rPr>
        <w:t>59</w:t>
      </w:r>
    </w:p>
    <w:p w14:paraId="7010CA9A" w14:textId="77777777" w:rsidR="00DF6988" w:rsidRPr="00DF6988" w:rsidRDefault="00DF6988" w:rsidP="00DF6988">
      <w:pPr>
        <w:pStyle w:val="FliesstextSpalten"/>
        <w:rPr>
          <w:sz w:val="9"/>
        </w:rPr>
      </w:pPr>
      <w:r w:rsidRPr="00DF6988">
        <w:t>With respect to WB-MRI, no consensus for any indication was achieved. A minority of panellists sug- gested using WB-MRI in most patients (three of 21 at presentation, six at biochemical recurrence, and eight at advanced disease), which could be related to some incomplete data in the published literature that shows low sensitivity for lymph node disease, but good sensitivity for bone metastasis detection. Additionally, problems with standardisation of methodologies and dearth of expertise were noted, and these factors have been addressed elsewhere.</w:t>
      </w:r>
      <w:r w:rsidRPr="00DF6988">
        <w:rPr>
          <w:position w:val="6"/>
          <w:sz w:val="9"/>
        </w:rPr>
        <w:t>42,43</w:t>
      </w:r>
    </w:p>
    <w:p w14:paraId="4F396763" w14:textId="77777777" w:rsidR="00DF6988" w:rsidRPr="00DF6988" w:rsidRDefault="00DF6988" w:rsidP="00DF6988">
      <w:pPr>
        <w:pStyle w:val="FliesstextSpalten"/>
      </w:pPr>
      <w:r w:rsidRPr="00DF6988">
        <w:t>Consensus was reached for pelvic multiparametric MRI, which was recommended at biochemical recur- rence to detect local recurrences (depending on clinical</w:t>
      </w:r>
      <w:bookmarkStart w:id="14" w:name="Consensus_on_nuclear_medicine_therapy"/>
      <w:bookmarkEnd w:id="14"/>
      <w:r w:rsidRPr="00DF6988">
        <w:t xml:space="preserve"> factors, such as primary therapy method, </w:t>
      </w:r>
      <w:r w:rsidRPr="00DF6988">
        <w:t>pathological status, and PSA kinetics) and in advanced prostate cancer (in a minority of patients, based on risk and symptoms). Consensus could be related to more convincing evidence in the published literature, especially regarding the capability of identifying local recurrence, pelvic compli- cations, and biopsy guidance.</w:t>
      </w:r>
    </w:p>
    <w:p w14:paraId="68401B1A" w14:textId="77777777" w:rsidR="00DF6988" w:rsidRPr="00DF6988" w:rsidRDefault="00DF6988" w:rsidP="00DF6988">
      <w:pPr>
        <w:pStyle w:val="FliesstextSpalten"/>
        <w:rPr>
          <w:sz w:val="9"/>
        </w:rPr>
      </w:pPr>
      <w:r w:rsidRPr="00DF6988">
        <w:t>Prostate cancer-targeted PET (ie, using choline, fluci- clovine, or PSMA-targeted tracers) did not achieve con- sensus for any indication, but the use of PET was preferred by a majority of panellists (13 of 22 at presentation in a minority of patients based on risk and symptoms, 13 of 20 at biochemical recurrence in the majority of patients to replace bone scintigraphy or CT, ten of 21 in advanced prostate cancer in the majority of patients). This increasing acceptance of PET is probably related to the growing amount of supporting data in the published literature, although level 1 evidence is scarce and most of these data do not address the effect of PET on clinically relevant endpoints. It was noted by the panellists that the efficacy of treatment needs to translate into improved survival to avoid futile procedures or treatments that might lead to overdiagnosis and increased cost, but will not necessarily affect survival outcome.</w:t>
      </w:r>
      <w:r w:rsidRPr="00DF6988">
        <w:rPr>
          <w:position w:val="6"/>
          <w:sz w:val="9"/>
        </w:rPr>
        <w:t>60</w:t>
      </w:r>
    </w:p>
    <w:p w14:paraId="7E5CA1FD" w14:textId="77777777" w:rsidR="00DF6988" w:rsidRPr="00DF6988" w:rsidRDefault="00DF6988" w:rsidP="00DF6988">
      <w:pPr>
        <w:pStyle w:val="FliesstextSpalten"/>
      </w:pPr>
      <w:r w:rsidRPr="00DF6988">
        <w:t>The  increasing  number  of  publications  regarding</w:t>
      </w:r>
    </w:p>
    <w:p w14:paraId="32B9503A" w14:textId="09614284" w:rsidR="00DF6988" w:rsidRPr="00DF6988" w:rsidRDefault="00DF6988" w:rsidP="00C94E0E">
      <w:pPr>
        <w:pStyle w:val="FliesstextSpalten"/>
        <w:ind w:firstLine="0"/>
      </w:pPr>
      <w:r w:rsidRPr="00DF6988">
        <w:t>PSMA PET is a major reason for the large agreement that PSMA drugs are increasingly preferred PET radiopharmaceuticals. This consensus might appear to conflict with the reality of PSMA PET availability and approval in most countries and might reflect the composition of the panel; they were largely from high-income countries in western Europe. However, it should be noted that the availability of a treatment option was only considered important by a small minority of panellists (three of 22, two of 22, and three of 23, in three questions). An issue for future consensus is the</w:t>
      </w:r>
      <w:r>
        <w:t xml:space="preserve"> </w:t>
      </w:r>
      <w:r w:rsidRPr="00DF6988">
        <w:t>availability of many different forms of PSMA tracers (several ligands and isotopes). In the future, it would be advisable for nuclear medicine specialists to provide referring clinicians with precise recommendations and standard operating procedures concerning the use of these radioactive tracers.</w:t>
      </w:r>
    </w:p>
    <w:p w14:paraId="0A47833C" w14:textId="77777777" w:rsidR="00DF6988" w:rsidRPr="00DF6988" w:rsidRDefault="00DF6988" w:rsidP="00DF6988">
      <w:pPr>
        <w:pStyle w:val="FliesstextSpalten"/>
      </w:pPr>
      <w:r w:rsidRPr="00DF6988">
        <w:t xml:space="preserve">Given that little consensus on the use of MRI and PET was observed, it was predictable that agreement was limited to the procedure of choice among modern imaging methods. In biochemical recurrence, prostate cancer-targeted PET was preferred over MRI (11 of 21 </w:t>
      </w:r>
      <w:r w:rsidRPr="00DF6988">
        <w:rPr>
          <w:rFonts w:ascii="Times New Roman"/>
          <w:i/>
        </w:rPr>
        <w:t xml:space="preserve">vs </w:t>
      </w:r>
      <w:r w:rsidRPr="00DF6988">
        <w:t xml:space="preserve">three of 21, with six of 21 in favour of a combination). In advanced prostate cancer, PET was preferred by seven of 21 panellists and WB-MRI by six, although eight recommended conventional imaging with bone scintigraphy and CT. These data indicate that more data are required to change </w:t>
      </w:r>
      <w:r w:rsidRPr="00DF6988">
        <w:lastRenderedPageBreak/>
        <w:t>practice, although PET is preferred when early identification of recurrence site is the clinical question. Further data on the risk of false- negative results in prostate cancer not expressing PSMA or having heterogeneous PSMA expression are also needed to determine whether combinations of PET and WB-MRI can have clinical utility that can be cost effective. The consideration of patient preferences in such studies is imperative.</w:t>
      </w:r>
    </w:p>
    <w:p w14:paraId="7482572E" w14:textId="77777777" w:rsidR="00DF6988" w:rsidRPr="00DF6988" w:rsidRDefault="00DF6988" w:rsidP="00DF6988">
      <w:pPr>
        <w:pStyle w:val="FliesstextSpalten"/>
        <w:rPr>
          <w:sz w:val="9"/>
        </w:rPr>
      </w:pPr>
      <w:r w:rsidRPr="00DF6988">
        <w:t>The clinical priorities for imaging in biochemical recurrence have been agreed by the Advanced Prostate Cancer Consensus Conference</w:t>
      </w:r>
      <w:r w:rsidRPr="00DF6988">
        <w:rPr>
          <w:position w:val="6"/>
          <w:sz w:val="9"/>
        </w:rPr>
        <w:t xml:space="preserve">11 </w:t>
      </w:r>
      <w:r w:rsidRPr="00DF6988">
        <w:t>and the EAU,</w:t>
      </w:r>
      <w:r w:rsidRPr="00DF6988">
        <w:rPr>
          <w:position w:val="6"/>
          <w:sz w:val="9"/>
        </w:rPr>
        <w:t xml:space="preserve">13 </w:t>
      </w:r>
      <w:r w:rsidRPr="00DF6988">
        <w:t>and a systematic analysis showed that multiparametric MRI is recommended for local recurrence.</w:t>
      </w:r>
      <w:r w:rsidRPr="00DF6988">
        <w:rPr>
          <w:position w:val="6"/>
          <w:sz w:val="9"/>
        </w:rPr>
        <w:t xml:space="preserve">61 </w:t>
      </w:r>
      <w:r w:rsidRPr="00DF6988">
        <w:t>However, no clear guidelines exist for multiparametric MRI in this setting, although the EAU have been clear in their recom- mendation of the need for multiparametric MRI.</w:t>
      </w:r>
      <w:r w:rsidRPr="00DF6988">
        <w:rPr>
          <w:position w:val="6"/>
          <w:sz w:val="9"/>
        </w:rPr>
        <w:t>62</w:t>
      </w:r>
    </w:p>
    <w:p w14:paraId="47577D5E" w14:textId="77777777" w:rsidR="00DF6988" w:rsidRPr="00DF6988" w:rsidRDefault="00DF6988" w:rsidP="00DF6988">
      <w:pPr>
        <w:pStyle w:val="FliesstextSpalten"/>
        <w:rPr>
          <w:sz w:val="17"/>
        </w:rPr>
      </w:pPr>
    </w:p>
    <w:p w14:paraId="02714A28" w14:textId="77777777" w:rsidR="00DF6988" w:rsidRPr="00DF6988" w:rsidRDefault="00DF6988" w:rsidP="00C94E0E">
      <w:pPr>
        <w:pStyle w:val="Headline-SUB"/>
      </w:pPr>
      <w:r w:rsidRPr="00DF6988">
        <w:t>Consensus on nuclear medicine therapy</w:t>
      </w:r>
    </w:p>
    <w:p w14:paraId="4F368D30" w14:textId="77777777" w:rsidR="00DF6988" w:rsidRPr="00DF6988" w:rsidRDefault="00DF6988" w:rsidP="00C94E0E">
      <w:pPr>
        <w:pStyle w:val="FliesstextSpalten"/>
        <w:ind w:firstLine="0"/>
      </w:pPr>
      <w:r w:rsidRPr="00DF6988">
        <w:t>No consensus was achieved on when to refer patients for treatment with radium-223. Panellists were divided between referring patients yet to be treated with other life-prolonging therapies (nine of 19) versus patients already treated with (or unfit for) docetaxel and abiraterone or enzalutamide (eight of 19). The positioning of radium-223 as a first, second, or third-line treatment is still a clinical challenge.</w:t>
      </w:r>
    </w:p>
    <w:p w14:paraId="3412C4A7" w14:textId="46046FFB" w:rsidR="00DF6988" w:rsidRDefault="00DF6988" w:rsidP="00C94E0E">
      <w:pPr>
        <w:pStyle w:val="FliesstextSpalten"/>
      </w:pPr>
      <w:r w:rsidRPr="00DF6988">
        <w:t>Treatment with rhenium-186, samarium-153, or strontium-89 was not recommended in view of an absence of level 1 evidence from randomised phase 3 trials. With regards to PSMA-targeted therapeutic radiopharma- ceuticals, good consensus was reached on referring patients with metastatic disease (bone and nodal lesions) already treated with all other available life-prolonging therapies, but referral should be done within the framework of appropriate clinical trials. The need for properly designed trials (prospective, multicentre, and randomised, with clear objectives) was emphasised, so that the real value of PSMA-directed radionuclide therapies can be evaluated. Without such an approach, it will be difficult for these drugs to have major therapeutic roles.</w:t>
      </w:r>
    </w:p>
    <w:p w14:paraId="45918381" w14:textId="77777777" w:rsidR="00DF6988" w:rsidRPr="00DF6988" w:rsidRDefault="00DF6988" w:rsidP="00DF6988">
      <w:pPr>
        <w:pStyle w:val="FliesstextSpalten"/>
      </w:pPr>
      <w:r w:rsidRPr="00DF6988">
        <w:t>Of note, radium-223 is indicated for patients with only bone metastases detectable, and anti-PSMA based radionuclides might have broader use based on their mechanism of action.</w:t>
      </w:r>
    </w:p>
    <w:p w14:paraId="7A6EC254" w14:textId="77777777" w:rsidR="00DF6988" w:rsidRPr="00DF6988" w:rsidRDefault="00DF6988" w:rsidP="00DF6988">
      <w:pPr>
        <w:pStyle w:val="FliesstextSpalten"/>
        <w:rPr>
          <w:sz w:val="17"/>
        </w:rPr>
      </w:pPr>
    </w:p>
    <w:p w14:paraId="062201E3" w14:textId="77777777" w:rsidR="00DF6988" w:rsidRPr="00DF6988" w:rsidRDefault="00DF6988" w:rsidP="008F699F">
      <w:pPr>
        <w:pStyle w:val="Headline-SUB"/>
      </w:pPr>
      <w:bookmarkStart w:id="15" w:name="General_observations_for_clinical_practi"/>
      <w:bookmarkEnd w:id="15"/>
      <w:r w:rsidRPr="00DF6988">
        <w:t>General observations for clinical practice</w:t>
      </w:r>
    </w:p>
    <w:p w14:paraId="61AF0E32" w14:textId="77777777" w:rsidR="00DF6988" w:rsidRPr="00DF6988" w:rsidRDefault="00DF6988" w:rsidP="00C94E0E">
      <w:pPr>
        <w:pStyle w:val="FliesstextSpalten"/>
        <w:ind w:firstLine="0"/>
      </w:pPr>
      <w:r w:rsidRPr="00DF6988">
        <w:t xml:space="preserve">Clinicians and imagers have different perspectives and ways of thinking, so more interaction and direct com- munication between them are needed. Nuclear medicine and radiology should be represented in </w:t>
      </w:r>
      <w:r w:rsidRPr="00DF6988">
        <w:t>medical decision teams for prostate cancer, so that image interpretation can be integrated into the clinical background for making</w:t>
      </w:r>
      <w:bookmarkStart w:id="16" w:name="Requirements_for_imaging"/>
      <w:bookmarkEnd w:id="16"/>
      <w:r w:rsidRPr="00DF6988">
        <w:t xml:space="preserve"> treatment decisions. The involvement of radiologists or nuclear medicine specialists should start with the indication or referral of the patient for imaging and therapy.</w:t>
      </w:r>
    </w:p>
    <w:p w14:paraId="13C07EDD" w14:textId="77777777" w:rsidR="00DF6988" w:rsidRPr="00DF6988" w:rsidRDefault="00DF6988" w:rsidP="00DF6988">
      <w:pPr>
        <w:pStyle w:val="FliesstextSpalten"/>
      </w:pPr>
      <w:r w:rsidRPr="00DF6988">
        <w:t>When they deem it necessary, the urologist and medical oncologist can refer a patient to a nuclear medicine physician or radiation oncologist for a specific purpose. Therefore, more cross-disciplinary interaction is needed among specialists in the field so that patient outcomes</w:t>
      </w:r>
      <w:bookmarkStart w:id="17" w:name="General_observations_for_research"/>
      <w:bookmarkStart w:id="18" w:name="Implications_for_imaging"/>
      <w:bookmarkStart w:id="19" w:name="Conclusion"/>
      <w:bookmarkEnd w:id="17"/>
      <w:bookmarkEnd w:id="18"/>
      <w:bookmarkEnd w:id="19"/>
      <w:r w:rsidRPr="00DF6988">
        <w:t xml:space="preserve"> can be optimised. Imaging is not a histological diagnosis but can aid in disease characterisation. Similarly, progressive disease is not defined by imaging alone, but appropriate and timely feedback on imaging results that can enhance the quality of treatment.</w:t>
      </w:r>
    </w:p>
    <w:p w14:paraId="5ACFB0EF" w14:textId="77777777" w:rsidR="00DF6988" w:rsidRPr="00DF6988" w:rsidRDefault="00DF6988" w:rsidP="00DF6988">
      <w:pPr>
        <w:pStyle w:val="FliesstextSpalten"/>
        <w:rPr>
          <w:sz w:val="16"/>
        </w:rPr>
      </w:pPr>
    </w:p>
    <w:p w14:paraId="6CC3BA0E" w14:textId="77777777" w:rsidR="00DF6988" w:rsidRPr="00DF6988" w:rsidRDefault="00DF6988" w:rsidP="00C94E0E">
      <w:pPr>
        <w:pStyle w:val="Headline-SUB"/>
      </w:pPr>
      <w:r w:rsidRPr="00DF6988">
        <w:t>General observations for research</w:t>
      </w:r>
    </w:p>
    <w:p w14:paraId="1EDC35C1" w14:textId="23ED3C4E" w:rsidR="00DF6988" w:rsidRPr="00DF6988" w:rsidRDefault="00DF6988" w:rsidP="00C94E0E">
      <w:pPr>
        <w:pStyle w:val="FliesstextSpalten"/>
        <w:ind w:firstLine="0"/>
      </w:pPr>
      <w:r w:rsidRPr="00DF6988">
        <w:t>Referring clinicians need to involve radiologists and nuclear medicine specialists early in trial design, and, for their part, imagers need to adopt a proactive approach towards engagement in clinical trials. They need to develop robust imaging procedures with appropriate quality control and quality assurance and with definable endpoints that line up with the expectations and unmet needs of the clinicians. Only one acceptable approach exists for research in therapeutics: clinical trial design must adhere to accepted standards that generate high- level evidence. Clinical trials must be prospective, randomised (but not necessarily large) if an acceptable conventional management option that allows clinical balance exists, multicentred, and adequately powered. Without this approach, experimental treatments will not have a solid base, and the potential of nuclear medicine therapy will be diminished. Trials must be conducted at the right time. We cannot afford to miss the tipping point after which randomised trials will no longer be accepted or result in trials that fail due to poor accrual. An example of such an approach is the VISION trial (NCT03511664), which  is  currently  ongoing  and  examining whether</w:t>
      </w:r>
      <w:r>
        <w:t xml:space="preserve"> </w:t>
      </w:r>
      <w:r w:rsidRPr="00DF6988">
        <w:t>¹⁷⁷Lu-PSMA-617 RLT is better than treatment without the</w:t>
      </w:r>
      <w:r>
        <w:t xml:space="preserve"> </w:t>
      </w:r>
      <w:r w:rsidRPr="00DF6988">
        <w:t>radiopharmaceutical.</w:t>
      </w:r>
    </w:p>
    <w:p w14:paraId="0106E2FE" w14:textId="77777777" w:rsidR="00DF6988" w:rsidRPr="00DF6988" w:rsidRDefault="00DF6988" w:rsidP="00DF6988">
      <w:pPr>
        <w:pStyle w:val="FliesstextSpalten"/>
        <w:rPr>
          <w:sz w:val="19"/>
        </w:rPr>
      </w:pPr>
    </w:p>
    <w:p w14:paraId="003ECE65" w14:textId="77777777" w:rsidR="00DF6988" w:rsidRPr="00DF6988" w:rsidRDefault="00DF6988" w:rsidP="00C94E0E">
      <w:pPr>
        <w:pStyle w:val="Headline-SUB"/>
      </w:pPr>
      <w:r w:rsidRPr="00DF6988">
        <w:t>Implications for imaging</w:t>
      </w:r>
    </w:p>
    <w:p w14:paraId="17827ED0" w14:textId="41260C0A" w:rsidR="00DF6988" w:rsidRPr="00DF6988" w:rsidRDefault="00DF6988" w:rsidP="00C94E0E">
      <w:pPr>
        <w:pStyle w:val="FliesstextSpalten"/>
        <w:ind w:firstLine="0"/>
      </w:pPr>
      <w:r w:rsidRPr="00DF6988">
        <w:t>We need to advance the current framework of grouping patients according to tumour location and move towards a more refined in-vivo characterisation of tumour</w:t>
      </w:r>
      <w:r>
        <w:t xml:space="preserve"> </w:t>
      </w:r>
      <w:r w:rsidRPr="00DF6988">
        <w:t xml:space="preserve">biology and heterogeneity. In other words, we should move away from tumour imaging that emphasises sensitivity or specificity to more meaningful effects on clinically relevant endpoints that are associated with overall survival. Depending </w:t>
      </w:r>
      <w:r w:rsidRPr="00DF6988">
        <w:lastRenderedPageBreak/>
        <w:t>on the clinical question at hand, use of the most advanced, expensive technology is not always necessary to meet clinical needs. Elimination of false-positives (or irrelevant positives) is needed and provision of thoughtful interpretation of findings in written reports suited to directing patient care, while the fact that patients receive and read their reports is recognised.</w:t>
      </w:r>
    </w:p>
    <w:p w14:paraId="0447A4BE" w14:textId="77777777" w:rsidR="00DF6988" w:rsidRPr="00DF6988" w:rsidRDefault="00DF6988" w:rsidP="00DF6988">
      <w:pPr>
        <w:pStyle w:val="FliesstextSpalten"/>
        <w:rPr>
          <w:sz w:val="17"/>
        </w:rPr>
      </w:pPr>
    </w:p>
    <w:p w14:paraId="4B87C2D2" w14:textId="77777777" w:rsidR="00DF6988" w:rsidRPr="00DF6988" w:rsidRDefault="00DF6988" w:rsidP="00C94E0E">
      <w:pPr>
        <w:pStyle w:val="Headline-SUB"/>
      </w:pPr>
      <w:r w:rsidRPr="00DF6988">
        <w:t>Requirements for imaging</w:t>
      </w:r>
    </w:p>
    <w:p w14:paraId="3249DC2A" w14:textId="6BA8A7AF" w:rsidR="00DF6988" w:rsidRDefault="00DF6988" w:rsidP="00C94E0E">
      <w:pPr>
        <w:pStyle w:val="FliesstextSpalten"/>
        <w:ind w:firstLine="0"/>
      </w:pPr>
      <w:r w:rsidRPr="00DF6988">
        <w:t>Imaging needs to move away from merely innovating that draws on feasibility studies and towards trials and clinical implementation. Imaging procedures must be standardised and validated, and quality control must progress beyond imaging instrumentation and radio- pharmaceutical production. There is a need to spread knowledge concerning imaging impacts, and teaching efforts must continue to expand to shorten learning curves. Reporting of imaging results need to be standardised and effectively communicated. Additionally, imagers need to actively participate in clinical trial groups and guideline committees, and thereby enhance clinicians’ appreciation of the benefits of the early engagement of imagers in their studies. Imaging methods and knowledge need to be rolled out from expert centres to general practice and we need to ensure that continuous dialogue between clinicians and imagers is maintained.</w:t>
      </w:r>
    </w:p>
    <w:p w14:paraId="4035CC6D" w14:textId="77777777" w:rsidR="00DF6988" w:rsidRPr="00DF6988" w:rsidRDefault="00DF6988" w:rsidP="00DF6988">
      <w:pPr>
        <w:pStyle w:val="FliesstextSpalten"/>
      </w:pPr>
    </w:p>
    <w:p w14:paraId="569003FC" w14:textId="77777777" w:rsidR="00DF6988" w:rsidRPr="00DF6988" w:rsidRDefault="00DF6988" w:rsidP="000F1942">
      <w:pPr>
        <w:pStyle w:val="Headlines"/>
        <w:ind w:firstLine="0"/>
      </w:pPr>
      <w:r w:rsidRPr="00DF6988">
        <w:t>Conclusion</w:t>
      </w:r>
    </w:p>
    <w:p w14:paraId="2378E731" w14:textId="2A9F9A5C" w:rsidR="00DF6988" w:rsidRDefault="00DF6988" w:rsidP="00C94E0E">
      <w:pPr>
        <w:pStyle w:val="FliesstextSpalten"/>
        <w:ind w:firstLine="0"/>
      </w:pPr>
      <w:r w:rsidRPr="00DF6988">
        <w:t xml:space="preserve">EANM Focus 1 constitutes the efforts of a multi- disciplinary panel of international experts to produce a comprehensive series of statements on prostate cancer imaging and therapy with radiopharmaceuticals. This approach can be regarded as a useful method to build consensus on topics of relevant clinical value, in which differing views might exist. Consensus was achieved for many questions, and clear preferences were expressed for the remainder. The most relevant conclusions drawn regarding the use of imaging were that bone scintigraphy and CT have never been recommended for the majority of patients with prostate cancer, despite the fact that these methods are still largely used and advocated in most clinical guidelines. This disparity is in part a reflection of the dearth of engagement by imaging specialists in clinical guidelines development. The use of MRI (either WB-MRI or pelvic MRI) and prostate cancer- targeted PET have been frequently suggested, but there is still no clarity on usage within the imaging community. This disparity does not reflect efficacy but rather a divergence of views on appropriate use. Among PET tracers, fluoride has no clear advantage over </w:t>
      </w:r>
      <w:r w:rsidRPr="00DF6988">
        <w:t>conventional bone scanning, but PSMA is rapidly gaining acceptance. Given the rapid progress in the field of prostate cancer</w:t>
      </w:r>
      <w:r>
        <w:t xml:space="preserve"> </w:t>
      </w:r>
      <w:r w:rsidRPr="00DF6988">
        <w:t>imaging and the impressive amount of new literature, it would be useful to update this consensus statement in</w:t>
      </w:r>
      <w:bookmarkStart w:id="20" w:name="References"/>
      <w:bookmarkEnd w:id="20"/>
      <w:r w:rsidRPr="00DF6988">
        <w:t xml:space="preserve"> 2–3 years to see if the areas that have been identified in these consensus questions have improved.</w:t>
      </w:r>
    </w:p>
    <w:p w14:paraId="47F187B3" w14:textId="17EFB46C" w:rsidR="00E8013F" w:rsidRDefault="00E8013F" w:rsidP="00C94E0E">
      <w:pPr>
        <w:pStyle w:val="FliesstextSpalten"/>
        <w:ind w:firstLine="0"/>
      </w:pPr>
    </w:p>
    <w:p w14:paraId="726F8C39" w14:textId="77777777" w:rsidR="00E8013F" w:rsidRPr="000F1942" w:rsidRDefault="00E8013F" w:rsidP="000F1942">
      <w:pPr>
        <w:autoSpaceDE w:val="0"/>
        <w:autoSpaceDN w:val="0"/>
        <w:spacing w:before="71"/>
        <w:rPr>
          <w:rFonts w:ascii="Arial" w:eastAsia="Georgia" w:hAnsi="Georgia" w:cs="Georgia"/>
          <w:b/>
          <w:color w:val="CA415A"/>
          <w:sz w:val="14"/>
          <w:lang w:val="en-GB" w:eastAsia="en-GB" w:bidi="en-GB"/>
        </w:rPr>
      </w:pPr>
      <w:r w:rsidRPr="000F1942">
        <w:rPr>
          <w:rFonts w:ascii="Arial" w:eastAsia="Georgia" w:hAnsi="Georgia" w:cs="Georgia"/>
          <w:b/>
          <w:color w:val="CA415A"/>
          <w:sz w:val="14"/>
          <w:lang w:val="en-GB" w:eastAsia="en-GB" w:bidi="en-GB"/>
        </w:rPr>
        <w:t>Contributors</w:t>
      </w:r>
    </w:p>
    <w:p w14:paraId="4D0B0368" w14:textId="7187C834" w:rsidR="00E8013F" w:rsidRDefault="00E8013F" w:rsidP="000F1942">
      <w:pPr>
        <w:autoSpaceDE w:val="0"/>
        <w:autoSpaceDN w:val="0"/>
        <w:spacing w:before="17" w:line="264" w:lineRule="auto"/>
        <w:jc w:val="both"/>
        <w:rPr>
          <w:rFonts w:ascii="Georgia" w:eastAsia="Georgia" w:hAnsi="Georgia" w:cs="Georgia"/>
          <w:sz w:val="14"/>
          <w:lang w:val="en-GB" w:eastAsia="en-GB" w:bidi="en-GB"/>
        </w:rPr>
      </w:pPr>
      <w:r w:rsidRPr="00E8013F">
        <w:rPr>
          <w:rFonts w:ascii="Georgia" w:eastAsia="Georgia" w:hAnsi="Georgia" w:cs="Georgia"/>
          <w:sz w:val="14"/>
          <w:lang w:val="en-GB" w:eastAsia="en-GB" w:bidi="en-GB"/>
        </w:rPr>
        <w:t>SF, SM, and WJGO designed the study, did the research, and wrote the paper. GA, AB, IC, AC, NC, ME, JDB, KF, SGi, UH, KH, RJH, FL, RM, PO, JMO'S, ARP, JS, HIS, BT, RJAvM, HVP, HAV, JW, WAW,</w:t>
      </w:r>
      <w:r w:rsidR="000F1942">
        <w:rPr>
          <w:rFonts w:ascii="Georgia" w:eastAsia="Georgia" w:hAnsi="Georgia" w:cs="Georgia"/>
          <w:sz w:val="14"/>
          <w:lang w:val="en-GB" w:eastAsia="en-GB" w:bidi="en-GB"/>
        </w:rPr>
        <w:t xml:space="preserve"> </w:t>
      </w:r>
      <w:r w:rsidRPr="00E8013F">
        <w:rPr>
          <w:rFonts w:ascii="Georgia" w:eastAsia="Georgia" w:hAnsi="Georgia" w:cs="Georgia"/>
          <w:sz w:val="14"/>
          <w:lang w:val="en-GB" w:eastAsia="en-GB" w:bidi="en-GB"/>
        </w:rPr>
        <w:t>and H-JW were all members of the expert panel, designed the study, contributed to the content of the study, and reviewed the paper. IB and SGl designed the study, contributed to the content of the study, and reviewed the paper.</w:t>
      </w:r>
    </w:p>
    <w:p w14:paraId="011877E4" w14:textId="77777777" w:rsidR="000F1942" w:rsidRPr="00E8013F" w:rsidRDefault="000F1942" w:rsidP="000F1942">
      <w:pPr>
        <w:autoSpaceDE w:val="0"/>
        <w:autoSpaceDN w:val="0"/>
        <w:spacing w:before="17" w:line="264" w:lineRule="auto"/>
        <w:jc w:val="both"/>
        <w:rPr>
          <w:rFonts w:ascii="Georgia" w:eastAsia="Georgia" w:hAnsi="Georgia" w:cs="Georgia"/>
          <w:sz w:val="14"/>
          <w:lang w:val="en-GB" w:eastAsia="en-GB" w:bidi="en-GB"/>
        </w:rPr>
      </w:pPr>
    </w:p>
    <w:p w14:paraId="3A8E94C8" w14:textId="77777777" w:rsidR="00E8013F" w:rsidRPr="000F1942" w:rsidRDefault="00E8013F" w:rsidP="000F1942">
      <w:pPr>
        <w:autoSpaceDE w:val="0"/>
        <w:autoSpaceDN w:val="0"/>
        <w:spacing w:before="82"/>
        <w:rPr>
          <w:rFonts w:ascii="Arial" w:eastAsia="Georgia" w:hAnsi="Georgia" w:cs="Georgia"/>
          <w:b/>
          <w:color w:val="CA415A"/>
          <w:sz w:val="14"/>
          <w:lang w:val="en-GB" w:eastAsia="en-GB" w:bidi="en-GB"/>
        </w:rPr>
      </w:pPr>
      <w:r w:rsidRPr="000F1942">
        <w:rPr>
          <w:rFonts w:ascii="Arial" w:eastAsia="Georgia" w:hAnsi="Georgia" w:cs="Georgia"/>
          <w:b/>
          <w:color w:val="CA415A"/>
          <w:sz w:val="14"/>
          <w:lang w:val="en-GB" w:eastAsia="en-GB" w:bidi="en-GB"/>
        </w:rPr>
        <w:t>Declaration of interests</w:t>
      </w:r>
    </w:p>
    <w:p w14:paraId="36F93053" w14:textId="0D914213" w:rsidR="00E8013F" w:rsidRPr="00E8013F" w:rsidRDefault="00E8013F" w:rsidP="000F1942">
      <w:pPr>
        <w:autoSpaceDE w:val="0"/>
        <w:autoSpaceDN w:val="0"/>
        <w:spacing w:before="17" w:line="264" w:lineRule="auto"/>
        <w:jc w:val="both"/>
        <w:rPr>
          <w:rFonts w:ascii="Georgia" w:eastAsia="Georgia" w:hAnsi="Georgia" w:cs="Georgia"/>
          <w:sz w:val="14"/>
          <w:lang w:val="en-GB" w:eastAsia="en-GB" w:bidi="en-GB"/>
        </w:rPr>
      </w:pPr>
      <w:r w:rsidRPr="00E8013F">
        <w:rPr>
          <w:rFonts w:ascii="Georgia" w:eastAsia="Georgia" w:hAnsi="Georgia" w:cs="Georgia"/>
          <w:sz w:val="14"/>
          <w:lang w:val="en-GB" w:eastAsia="en-GB" w:bidi="en-GB"/>
        </w:rPr>
        <w:t>SF has received research grants from Movember and Blue Earth Diagnostics, and has received speaker or advisory honoraria from General Electric (GE), Bayer, Astellas, Novartis, Janssen, Bristol-Myers Squibb, and Advanced Accelerator Applications (AAA). GA wrote articles for Visus and MedEcon Ruhr during the last 5 years. IC has received research grants from Bracco, Philips, GE, and Advanced Accelerator Applications, and has received speaker or advisory honoraria from Lilly, Endocyte, Philips, GE, Bayer, and AAA. AC received speaker honoraria from General Electric and Sirtex Medical System, acted as scientific adviser for Blue Earth Diagnostics and Advanced Accelerator Applications, and benefited from an unconditional research grant from Sanofi. JDB has received research funding or support from Movember,</w:t>
      </w:r>
      <w:bookmarkStart w:id="21" w:name="Acknowledgments"/>
      <w:bookmarkEnd w:id="21"/>
      <w:r w:rsidRPr="00E8013F">
        <w:rPr>
          <w:rFonts w:ascii="Georgia" w:eastAsia="Georgia" w:hAnsi="Georgia" w:cs="Georgia"/>
          <w:sz w:val="14"/>
          <w:lang w:val="en-GB" w:eastAsia="en-GB" w:bidi="en-GB"/>
        </w:rPr>
        <w:t xml:space="preserve"> Prostate Cancer UK, Prostate Cancer Foundation, Stand Up to Cancer, National Institute of Health Research, UK Department of Health, Cancer Research UK, EU 7th Framework Programme, AstraZeneca, Genentech, Menarini, Pfizer Oncology, and Sanofi-Aventis. ME is a consultant for Blue Earth Diagnostics. KF held positions on advisory boards and received honoraria from Amgen, Astellas, AstraZeneca, Bayer, Clovis, Curevac, Essa, Genentech, Janssen, Merck Sharp &amp; Dohme, Orion,</w:t>
      </w:r>
      <w:r w:rsidR="000F1942">
        <w:rPr>
          <w:rFonts w:ascii="Georgia" w:eastAsia="Georgia" w:hAnsi="Georgia" w:cs="Georgia"/>
          <w:sz w:val="14"/>
          <w:lang w:val="en-GB" w:eastAsia="en-GB" w:bidi="en-GB"/>
        </w:rPr>
        <w:t xml:space="preserve"> </w:t>
      </w:r>
      <w:r w:rsidRPr="00E8013F">
        <w:rPr>
          <w:rFonts w:ascii="Georgia" w:eastAsia="Georgia" w:hAnsi="Georgia" w:cs="Georgia"/>
          <w:sz w:val="14"/>
          <w:lang w:val="en-GB" w:eastAsia="en-GB" w:bidi="en-GB"/>
        </w:rPr>
        <w:t>and Sanofi. SGi is an adviser or consultant for AAA International, Amgen, Astellas, Bayer, Curevac, Dendreon, ESSA, Janssen Cilag, Millennium, Novartis, Orion, Pfizer, ProteoMediX, Roche, and Sanofi- Aventis. UH declares a patent application for PSMA-617 and PSMA-1007. KH is consultant or adviser for ABX, Bayer, Endocyte, Ipsen, Sirtex,</w:t>
      </w:r>
      <w:r w:rsidR="000F1942">
        <w:rPr>
          <w:rFonts w:ascii="Georgia" w:eastAsia="Georgia" w:hAnsi="Georgia" w:cs="Georgia"/>
          <w:sz w:val="14"/>
          <w:lang w:val="en-GB" w:eastAsia="en-GB" w:bidi="en-GB"/>
        </w:rPr>
        <w:t xml:space="preserve"> </w:t>
      </w:r>
      <w:r w:rsidRPr="00E8013F">
        <w:rPr>
          <w:rFonts w:ascii="Georgia" w:eastAsia="Georgia" w:hAnsi="Georgia" w:cs="Georgia"/>
          <w:sz w:val="14"/>
          <w:lang w:val="en-GB" w:eastAsia="en-GB" w:bidi="en-GB"/>
        </w:rPr>
        <w:t>and Siemens Healthcare. RJH is on the scientific advisory board of Telix Pharmaceuticals and is an adviser to Endocyte with honoraria donated to his institution. RJAvM is a consultant or adviser for Amgen, Astellas, AstraZeneca, Bayer, Janssen, and Sanofi-Genzyme. JMO'S is an adviser to Astellas, Bayer, Janssen, and Sanofi, and wrote articles for Bayer during the past 5 years. PO is a consultant for Bayer and Ferring, and receives support from Ferring and Merck. ARP is an adviser for Siemens Healthineers. JS is an adviser or speaker for Astellas, Bayer, Sanofi, and MDxHealth. HIS is a consultant for Clovis, Pfizer, Janssen Research, Janssen, Sanofi, and Menarini, on the advisory board for WCG, has grant or research support from Janssen and Janssen Research, is in collaboration with EPIC Sciences, and is a recipient of National Institutes of Health/National Cancer Institute Prostate SPORE Grant P50-CA92629 and Cancer Center Support Grant P30 CA008748. BT is a consultant or adviser for Astellas, Amgen, Bayer, Ferring, Janssen, Pfizer, Takeda, Myovant, and Sanofi Genzyme, and has written articles for Astellas, Amgen, Bayer, Ferring, Janssen, Pfizer, Takeda, Myovant, and Sanofi Genzyme during the last 5 years. JW is a consultant, assesser or adviser for Blue Earth Diagnostics, Exact Imaging, and Supersonic, and was a Speaker and received honoraria from ANNAcTRUS, Hitachi, Supersonic, Takeda, and Astellas. WAW is a consultant for Endocyte and BMS and is a recipient of National Institutes of Health grants 1 R01 CA222049–01, 1R01CA207645–01, 1 R01 CA213448–01, and 1R01CA207645–01. H-JW is</w:t>
      </w:r>
      <w:r w:rsidR="000F1942">
        <w:rPr>
          <w:rFonts w:ascii="Georgia" w:eastAsia="Georgia" w:hAnsi="Georgia" w:cs="Georgia"/>
          <w:sz w:val="14"/>
          <w:lang w:val="en-GB" w:eastAsia="en-GB" w:bidi="en-GB"/>
        </w:rPr>
        <w:t xml:space="preserve"> </w:t>
      </w:r>
      <w:r w:rsidRPr="00E8013F">
        <w:rPr>
          <w:rFonts w:ascii="Georgia" w:eastAsia="Georgia" w:hAnsi="Georgia" w:cs="Georgia"/>
          <w:sz w:val="14"/>
          <w:lang w:val="en-GB" w:eastAsia="en-GB" w:bidi="en-GB"/>
        </w:rPr>
        <w:t>scientific adviser for and shareholder of Scintomics. WJGO is an adviser for Bayer. The remaining authors declare no competing interests.</w:t>
      </w:r>
    </w:p>
    <w:p w14:paraId="10BF9F65" w14:textId="77777777" w:rsidR="00E8013F" w:rsidRPr="00E8013F" w:rsidRDefault="00E8013F" w:rsidP="000F1942">
      <w:pPr>
        <w:autoSpaceDE w:val="0"/>
        <w:autoSpaceDN w:val="0"/>
        <w:spacing w:before="82"/>
        <w:jc w:val="both"/>
        <w:rPr>
          <w:rFonts w:ascii="Arial" w:eastAsia="Georgia" w:hAnsi="Georgia" w:cs="Georgia"/>
          <w:b/>
          <w:sz w:val="14"/>
          <w:lang w:val="en-GB" w:eastAsia="en-GB" w:bidi="en-GB"/>
        </w:rPr>
      </w:pPr>
      <w:r w:rsidRPr="00E8013F">
        <w:rPr>
          <w:rFonts w:ascii="Arial" w:eastAsia="Georgia" w:hAnsi="Georgia" w:cs="Georgia"/>
          <w:b/>
          <w:sz w:val="14"/>
          <w:lang w:val="en-GB" w:eastAsia="en-GB" w:bidi="en-GB"/>
        </w:rPr>
        <w:lastRenderedPageBreak/>
        <w:t>Acknowledgments</w:t>
      </w:r>
    </w:p>
    <w:p w14:paraId="22A79118" w14:textId="25CA8F66" w:rsidR="000F1942" w:rsidRDefault="00E8013F" w:rsidP="000F1942">
      <w:pPr>
        <w:autoSpaceDE w:val="0"/>
        <w:autoSpaceDN w:val="0"/>
        <w:spacing w:before="17" w:line="264" w:lineRule="auto"/>
        <w:jc w:val="both"/>
        <w:rPr>
          <w:rFonts w:ascii="Georgia" w:eastAsia="Georgia" w:hAnsi="Georgia" w:cs="Georgia"/>
          <w:sz w:val="14"/>
          <w:lang w:val="en-GB" w:eastAsia="en-GB" w:bidi="en-GB"/>
        </w:rPr>
      </w:pPr>
      <w:r w:rsidRPr="00E8013F">
        <w:rPr>
          <w:rFonts w:ascii="Georgia" w:eastAsia="Georgia" w:hAnsi="Georgia" w:cs="Georgia"/>
          <w:sz w:val="14"/>
          <w:lang w:val="en-GB" w:eastAsia="en-GB" w:bidi="en-GB"/>
        </w:rPr>
        <w:t>The authors acknowledge John Bean (Bean Medical Writing) for providing medical writing services, and Susanne Koebe, Robert Punz, Petra Neubauer, Ivana Bojic, Olga Joachimsthal, Andreas Felser,</w:t>
      </w:r>
      <w:r w:rsidR="000F1942">
        <w:rPr>
          <w:rFonts w:ascii="Georgia" w:eastAsia="Georgia" w:hAnsi="Georgia" w:cs="Georgia"/>
          <w:sz w:val="14"/>
          <w:lang w:val="en-GB" w:eastAsia="en-GB" w:bidi="en-GB"/>
        </w:rPr>
        <w:t xml:space="preserve"> </w:t>
      </w:r>
      <w:r w:rsidRPr="00E8013F">
        <w:rPr>
          <w:rFonts w:ascii="Georgia" w:eastAsia="Georgia" w:hAnsi="Georgia" w:cs="Georgia"/>
          <w:sz w:val="14"/>
          <w:lang w:val="en-GB" w:eastAsia="en-GB" w:bidi="en-GB"/>
        </w:rPr>
        <w:t>and Henrik Silber (EANM) for project management. This research was funded by the EANM and supported by unrestricted grants from Bayer, Blue Earth Diagnostics, GE Healthcare, Progenics Pharmaceuticals,</w:t>
      </w:r>
      <w:r w:rsidR="000F1942" w:rsidRPr="000F1942">
        <w:t xml:space="preserve"> </w:t>
      </w:r>
      <w:r w:rsidR="000F1942" w:rsidRPr="000F1942">
        <w:rPr>
          <w:rFonts w:ascii="Georgia" w:eastAsia="Georgia" w:hAnsi="Georgia" w:cs="Georgia"/>
          <w:sz w:val="14"/>
          <w:lang w:val="en-GB" w:eastAsia="en-GB" w:bidi="en-GB"/>
        </w:rPr>
        <w:t>Siemens Healthineers, and Telix Pharmaceuticals. These sponsors had no direct or indirect influence on the programme and content of the EANM Focus 1 meeting and the writing or content of this Review.</w:t>
      </w:r>
    </w:p>
    <w:p w14:paraId="66EBF466" w14:textId="666A97D5" w:rsidR="000F1942" w:rsidRDefault="000F1942" w:rsidP="0068072A">
      <w:pPr>
        <w:autoSpaceDE w:val="0"/>
        <w:autoSpaceDN w:val="0"/>
        <w:spacing w:line="264" w:lineRule="auto"/>
        <w:jc w:val="both"/>
        <w:rPr>
          <w:rFonts w:ascii="Georgia" w:eastAsia="Georgia" w:hAnsi="Georgia" w:cs="Georgia"/>
          <w:sz w:val="14"/>
          <w:lang w:val="en-GB" w:eastAsia="en-GB" w:bidi="en-GB"/>
        </w:rPr>
      </w:pPr>
    </w:p>
    <w:p w14:paraId="67DE66AE" w14:textId="3669C03D" w:rsidR="001F431D" w:rsidRPr="00E8013F" w:rsidRDefault="001F431D" w:rsidP="001F431D">
      <w:pPr>
        <w:autoSpaceDE w:val="0"/>
        <w:autoSpaceDN w:val="0"/>
        <w:spacing w:before="82"/>
        <w:jc w:val="both"/>
        <w:rPr>
          <w:rFonts w:ascii="Arial" w:eastAsia="Georgia" w:hAnsi="Georgia" w:cs="Georgia"/>
          <w:b/>
          <w:sz w:val="14"/>
          <w:lang w:val="en-GB" w:eastAsia="en-GB" w:bidi="en-GB"/>
        </w:rPr>
      </w:pPr>
      <w:r>
        <w:rPr>
          <w:rFonts w:ascii="Arial" w:eastAsia="Georgia" w:hAnsi="Georgia" w:cs="Georgia"/>
          <w:b/>
          <w:sz w:val="14"/>
          <w:lang w:val="en-GB" w:eastAsia="en-GB" w:bidi="en-GB"/>
        </w:rPr>
        <w:t>References</w:t>
      </w:r>
    </w:p>
    <w:p w14:paraId="292C646B" w14:textId="19E65C95"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Ferlay J, Elvik M, Dikshit R, et al. </w:t>
      </w:r>
      <w:r w:rsidRPr="0068072A">
        <w:rPr>
          <w:sz w:val="14"/>
          <w:szCs w:val="14"/>
        </w:rPr>
        <w:t>GLOBOCAN 2012:</w:t>
      </w:r>
      <w:r>
        <w:rPr>
          <w:sz w:val="14"/>
          <w:szCs w:val="14"/>
        </w:rPr>
        <w:br/>
      </w:r>
      <w:r w:rsidRPr="0068072A">
        <w:rPr>
          <w:sz w:val="14"/>
          <w:szCs w:val="14"/>
        </w:rPr>
        <w:t xml:space="preserve">Estimated cancer incidence, mortality and prevalence worldwide in 2012. Lyon: International Agency for Research on Cancer, 2013. </w:t>
      </w:r>
      <w:hyperlink r:id="rId10">
        <w:r w:rsidRPr="0068072A">
          <w:rPr>
            <w:rStyle w:val="Hyperlink"/>
            <w:sz w:val="14"/>
            <w:szCs w:val="14"/>
          </w:rPr>
          <w:t>http:/</w:t>
        </w:r>
        <w:r w:rsidRPr="0068072A">
          <w:rPr>
            <w:rStyle w:val="Hyperlink"/>
            <w:sz w:val="14"/>
            <w:szCs w:val="14"/>
          </w:rPr>
          <w:t>/</w:t>
        </w:r>
        <w:r w:rsidRPr="0068072A">
          <w:rPr>
            <w:rStyle w:val="Hyperlink"/>
            <w:sz w:val="14"/>
            <w:szCs w:val="14"/>
          </w:rPr>
          <w:t>globocan.</w:t>
        </w:r>
        <w:r w:rsidRPr="0068072A">
          <w:rPr>
            <w:rStyle w:val="Hyperlink"/>
            <w:sz w:val="14"/>
            <w:szCs w:val="14"/>
          </w:rPr>
          <w:t>i</w:t>
        </w:r>
        <w:r w:rsidRPr="0068072A">
          <w:rPr>
            <w:rStyle w:val="Hyperlink"/>
            <w:sz w:val="14"/>
            <w:szCs w:val="14"/>
          </w:rPr>
          <w:t xml:space="preserve">arc.fr/Pages/fact_sheets_cancer.aspx </w:t>
        </w:r>
      </w:hyperlink>
      <w:r w:rsidRPr="0068072A">
        <w:rPr>
          <w:sz w:val="14"/>
          <w:szCs w:val="14"/>
        </w:rPr>
        <w:t>(accessed Dec 2, 2017).</w:t>
      </w:r>
    </w:p>
    <w:p w14:paraId="27152D6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Ferlay J, Soerjomataram I, Dikshit R, et al. Cancer incidence and mortality worldwide: sources, methods and major patterns in GLOBOCAN 2012. </w:t>
      </w:r>
      <w:r w:rsidRPr="0068072A">
        <w:rPr>
          <w:i/>
          <w:sz w:val="14"/>
          <w:szCs w:val="14"/>
        </w:rPr>
        <w:t xml:space="preserve">Int J Cancer </w:t>
      </w:r>
      <w:r w:rsidRPr="0068072A">
        <w:rPr>
          <w:sz w:val="14"/>
          <w:szCs w:val="14"/>
        </w:rPr>
        <w:t xml:space="preserve">2015; </w:t>
      </w:r>
      <w:r w:rsidRPr="0068072A">
        <w:rPr>
          <w:b/>
          <w:sz w:val="14"/>
          <w:szCs w:val="14"/>
        </w:rPr>
        <w:t xml:space="preserve">136: </w:t>
      </w:r>
      <w:r w:rsidRPr="0068072A">
        <w:rPr>
          <w:sz w:val="14"/>
          <w:szCs w:val="14"/>
        </w:rPr>
        <w:t>E359–86.</w:t>
      </w:r>
    </w:p>
    <w:p w14:paraId="727C45D3"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Arnold M, Karim-Kos HE, Coebergh JW, et al. Recent trends in incidence of five common cancers in 26 European countries since 1988: analysis of the European Cancer Observatory. </w:t>
      </w:r>
      <w:r w:rsidRPr="0068072A">
        <w:rPr>
          <w:i/>
          <w:sz w:val="14"/>
          <w:szCs w:val="14"/>
        </w:rPr>
        <w:t xml:space="preserve">Eur J Cancer </w:t>
      </w:r>
      <w:r w:rsidRPr="0068072A">
        <w:rPr>
          <w:sz w:val="14"/>
          <w:szCs w:val="14"/>
        </w:rPr>
        <w:t xml:space="preserve">2015; </w:t>
      </w:r>
      <w:r w:rsidRPr="0068072A">
        <w:rPr>
          <w:b/>
          <w:sz w:val="14"/>
          <w:szCs w:val="14"/>
        </w:rPr>
        <w:t xml:space="preserve">51: </w:t>
      </w:r>
      <w:r w:rsidRPr="0068072A">
        <w:rPr>
          <w:sz w:val="14"/>
          <w:szCs w:val="14"/>
        </w:rPr>
        <w:t>1164–87.</w:t>
      </w:r>
    </w:p>
    <w:p w14:paraId="248F9555"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De Angelis R, Sant M, Coleman MP, et al. Cancer survival in Europe 1999–2007 by country and age: results of EUROCARE-5— a population-based study. </w:t>
      </w:r>
      <w:r w:rsidRPr="0068072A">
        <w:rPr>
          <w:i/>
          <w:sz w:val="14"/>
          <w:szCs w:val="14"/>
        </w:rPr>
        <w:t xml:space="preserve">Lancet Oncol </w:t>
      </w:r>
      <w:r w:rsidRPr="0068072A">
        <w:rPr>
          <w:sz w:val="14"/>
          <w:szCs w:val="14"/>
        </w:rPr>
        <w:t xml:space="preserve">2014; </w:t>
      </w:r>
      <w:r w:rsidRPr="0068072A">
        <w:rPr>
          <w:b/>
          <w:sz w:val="14"/>
          <w:szCs w:val="14"/>
        </w:rPr>
        <w:t xml:space="preserve">15: </w:t>
      </w:r>
      <w:r w:rsidRPr="0068072A">
        <w:rPr>
          <w:sz w:val="14"/>
          <w:szCs w:val="14"/>
        </w:rPr>
        <w:t>23–34.</w:t>
      </w:r>
    </w:p>
    <w:p w14:paraId="3360A416"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Zhou CK, Check DP, Lortet-Tieulent J, et al. Prostate cancer incidence in 43 populations worldwide: an analysis of time trends overall and by age group. </w:t>
      </w:r>
      <w:r w:rsidRPr="0068072A">
        <w:rPr>
          <w:i/>
          <w:sz w:val="14"/>
          <w:szCs w:val="14"/>
        </w:rPr>
        <w:t xml:space="preserve">Int J Cancer </w:t>
      </w:r>
      <w:r w:rsidRPr="0068072A">
        <w:rPr>
          <w:sz w:val="14"/>
          <w:szCs w:val="14"/>
        </w:rPr>
        <w:t xml:space="preserve">2016; </w:t>
      </w:r>
      <w:r w:rsidRPr="0068072A">
        <w:rPr>
          <w:b/>
          <w:sz w:val="14"/>
          <w:szCs w:val="14"/>
        </w:rPr>
        <w:t xml:space="preserve">138: </w:t>
      </w:r>
      <w:r w:rsidRPr="0068072A">
        <w:rPr>
          <w:sz w:val="14"/>
          <w:szCs w:val="14"/>
        </w:rPr>
        <w:t>1388–400.</w:t>
      </w:r>
    </w:p>
    <w:p w14:paraId="1D83C167"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Vale CL, Burdett S, Rydzewska LHM, et al. Addition of docetaxel or bisphosphonates to standard of care in men with localised or metastatic, hormone-sensitive prostate cancer: a systematic review and meta-analyses of aggregate data. </w:t>
      </w:r>
      <w:r w:rsidRPr="0068072A">
        <w:rPr>
          <w:i/>
          <w:sz w:val="14"/>
          <w:szCs w:val="14"/>
        </w:rPr>
        <w:t xml:space="preserve">Lancet Oncol </w:t>
      </w:r>
      <w:r w:rsidRPr="0068072A">
        <w:rPr>
          <w:sz w:val="14"/>
          <w:szCs w:val="14"/>
        </w:rPr>
        <w:t xml:space="preserve">2016; </w:t>
      </w:r>
      <w:r w:rsidRPr="0068072A">
        <w:rPr>
          <w:b/>
          <w:sz w:val="14"/>
          <w:szCs w:val="14"/>
        </w:rPr>
        <w:t xml:space="preserve">17: </w:t>
      </w:r>
      <w:r w:rsidRPr="0068072A">
        <w:rPr>
          <w:sz w:val="14"/>
          <w:szCs w:val="14"/>
        </w:rPr>
        <w:t>243–56.</w:t>
      </w:r>
    </w:p>
    <w:p w14:paraId="629F44FD"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Luengo-Fernandez R, Leal J, Gray A, Sullivan R. Economic burden of cancer across the European Union: a population-based cost analysis. </w:t>
      </w:r>
      <w:r w:rsidRPr="0068072A">
        <w:rPr>
          <w:i/>
          <w:sz w:val="14"/>
          <w:szCs w:val="14"/>
        </w:rPr>
        <w:t xml:space="preserve">Lancet Oncol </w:t>
      </w:r>
      <w:r w:rsidRPr="0068072A">
        <w:rPr>
          <w:sz w:val="14"/>
          <w:szCs w:val="14"/>
        </w:rPr>
        <w:t xml:space="preserve">2013; </w:t>
      </w:r>
      <w:r w:rsidRPr="0068072A">
        <w:rPr>
          <w:b/>
          <w:sz w:val="14"/>
          <w:szCs w:val="14"/>
        </w:rPr>
        <w:t xml:space="preserve">14: </w:t>
      </w:r>
      <w:r w:rsidRPr="0068072A">
        <w:rPr>
          <w:sz w:val="14"/>
          <w:szCs w:val="14"/>
        </w:rPr>
        <w:t>1165–74.</w:t>
      </w:r>
    </w:p>
    <w:p w14:paraId="13267D12"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Collette L, Burzykowski T, Schröder FH. </w:t>
      </w:r>
      <w:r w:rsidRPr="0068072A">
        <w:rPr>
          <w:sz w:val="14"/>
          <w:szCs w:val="14"/>
        </w:rPr>
        <w:t xml:space="preserve">Prostate-specific antigen (PSA) alone is not an appropriate surrogate marker of long-term therapeutic benefit in prostate cancer trials. </w:t>
      </w:r>
      <w:r w:rsidRPr="0068072A">
        <w:rPr>
          <w:i/>
          <w:sz w:val="14"/>
          <w:szCs w:val="14"/>
        </w:rPr>
        <w:t xml:space="preserve">Eur J Cancer </w:t>
      </w:r>
      <w:r w:rsidRPr="0068072A">
        <w:rPr>
          <w:sz w:val="14"/>
          <w:szCs w:val="14"/>
        </w:rPr>
        <w:t xml:space="preserve">2006; </w:t>
      </w:r>
      <w:r w:rsidRPr="0068072A">
        <w:rPr>
          <w:b/>
          <w:sz w:val="14"/>
          <w:szCs w:val="14"/>
        </w:rPr>
        <w:t xml:space="preserve">42: </w:t>
      </w:r>
      <w:r w:rsidRPr="0068072A">
        <w:rPr>
          <w:sz w:val="14"/>
          <w:szCs w:val="14"/>
        </w:rPr>
        <w:t>1344–50.</w:t>
      </w:r>
    </w:p>
    <w:p w14:paraId="4698E93D"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Van Poppel H, Chapple C, Montorsi F, et al. Prostate Cancer. Recommendations to lower the risk and mortality rate of the most frequent cancer in men. Arnhem: European Association of Urology, 2017.</w:t>
      </w:r>
    </w:p>
    <w:p w14:paraId="7338B0D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Heidenreich A, Abrahamsson P-A, Artibani W, et al. Early detection of prostate cancer: European Association of Urology recommendation. </w:t>
      </w:r>
      <w:r w:rsidRPr="0068072A">
        <w:rPr>
          <w:i/>
          <w:sz w:val="14"/>
          <w:szCs w:val="14"/>
        </w:rPr>
        <w:t xml:space="preserve">Eur Urol </w:t>
      </w:r>
      <w:r w:rsidRPr="0068072A">
        <w:rPr>
          <w:sz w:val="14"/>
          <w:szCs w:val="14"/>
        </w:rPr>
        <w:t xml:space="preserve">2013; </w:t>
      </w:r>
      <w:r w:rsidRPr="0068072A">
        <w:rPr>
          <w:b/>
          <w:sz w:val="14"/>
          <w:szCs w:val="14"/>
        </w:rPr>
        <w:t xml:space="preserve">64: </w:t>
      </w:r>
      <w:r w:rsidRPr="0068072A">
        <w:rPr>
          <w:sz w:val="14"/>
          <w:szCs w:val="14"/>
        </w:rPr>
        <w:t>347–54.</w:t>
      </w:r>
    </w:p>
    <w:p w14:paraId="6B860DB8" w14:textId="300711BD"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Gillessen S, Attard G, Beer TM, et al. Management of patients with advanced prostate cancer: the report of the Advanced Prostate Cancer Consensus Conference APCCC 2017. </w:t>
      </w:r>
      <w:r w:rsidRPr="0068072A">
        <w:rPr>
          <w:i/>
          <w:sz w:val="14"/>
          <w:szCs w:val="14"/>
        </w:rPr>
        <w:t xml:space="preserve">Eur Urol </w:t>
      </w:r>
      <w:r w:rsidRPr="0068072A">
        <w:rPr>
          <w:sz w:val="14"/>
          <w:szCs w:val="14"/>
        </w:rPr>
        <w:t>2018;</w:t>
      </w:r>
      <w:r w:rsidRPr="0068072A">
        <w:rPr>
          <w:b/>
          <w:sz w:val="14"/>
          <w:szCs w:val="14"/>
        </w:rPr>
        <w:t xml:space="preserve">73: </w:t>
      </w:r>
      <w:r w:rsidRPr="0068072A">
        <w:rPr>
          <w:sz w:val="14"/>
          <w:szCs w:val="14"/>
        </w:rPr>
        <w:t>178–211.</w:t>
      </w:r>
    </w:p>
    <w:p w14:paraId="10C93FF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Sanda MG, Cadeddu JA, Kirkby E, et al. </w:t>
      </w:r>
      <w:r w:rsidRPr="0068072A">
        <w:rPr>
          <w:sz w:val="14"/>
          <w:szCs w:val="14"/>
        </w:rPr>
        <w:t xml:space="preserve">Clinically localized prostate cancer: AUA/ASTRO/SUO guideline. Part I: Risk stratification, shared decision making, and care options. </w:t>
      </w:r>
      <w:r w:rsidRPr="0068072A">
        <w:rPr>
          <w:i/>
          <w:sz w:val="14"/>
          <w:szCs w:val="14"/>
        </w:rPr>
        <w:t xml:space="preserve">J Urol </w:t>
      </w:r>
      <w:r w:rsidRPr="0068072A">
        <w:rPr>
          <w:sz w:val="14"/>
          <w:szCs w:val="14"/>
        </w:rPr>
        <w:t xml:space="preserve">2018; </w:t>
      </w:r>
      <w:r w:rsidRPr="0068072A">
        <w:rPr>
          <w:b/>
          <w:sz w:val="14"/>
          <w:szCs w:val="14"/>
        </w:rPr>
        <w:t xml:space="preserve">199: </w:t>
      </w:r>
      <w:r w:rsidRPr="0068072A">
        <w:rPr>
          <w:sz w:val="14"/>
          <w:szCs w:val="14"/>
        </w:rPr>
        <w:t>683–90.</w:t>
      </w:r>
    </w:p>
    <w:p w14:paraId="13A86F01"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Cornford P, Bellmunt J, Bolla M, et al. EAU-ESTRO-SIOG guidelines on prostate cancer. Part II: Treatment of relapsing, metastatic, and castration-resistant prostate cancer. </w:t>
      </w:r>
      <w:r w:rsidRPr="0068072A">
        <w:rPr>
          <w:i/>
          <w:sz w:val="14"/>
          <w:szCs w:val="14"/>
        </w:rPr>
        <w:t xml:space="preserve">Eur Urol </w:t>
      </w:r>
      <w:r w:rsidRPr="0068072A">
        <w:rPr>
          <w:sz w:val="14"/>
          <w:szCs w:val="14"/>
        </w:rPr>
        <w:t xml:space="preserve">2017; </w:t>
      </w:r>
      <w:r w:rsidRPr="0068072A">
        <w:rPr>
          <w:b/>
          <w:sz w:val="14"/>
          <w:szCs w:val="14"/>
        </w:rPr>
        <w:t xml:space="preserve">71: </w:t>
      </w:r>
      <w:r w:rsidRPr="0068072A">
        <w:rPr>
          <w:sz w:val="14"/>
          <w:szCs w:val="14"/>
        </w:rPr>
        <w:t>630–42.</w:t>
      </w:r>
    </w:p>
    <w:p w14:paraId="3FB745A4"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Mottet N, Bellmunt J, Bolla M, et al. </w:t>
      </w:r>
      <w:r w:rsidRPr="0068072A">
        <w:rPr>
          <w:sz w:val="14"/>
          <w:szCs w:val="14"/>
        </w:rPr>
        <w:t xml:space="preserve">EAU-ESTRO-SIOG guidelines on prostate cancer. Part 1: Screening, diagnosis, and local treatment with curative intent. </w:t>
      </w:r>
      <w:r w:rsidRPr="0068072A">
        <w:rPr>
          <w:i/>
          <w:sz w:val="14"/>
          <w:szCs w:val="14"/>
        </w:rPr>
        <w:t xml:space="preserve">Eur Urol </w:t>
      </w:r>
      <w:r w:rsidRPr="0068072A">
        <w:rPr>
          <w:sz w:val="14"/>
          <w:szCs w:val="14"/>
        </w:rPr>
        <w:t xml:space="preserve">2017; </w:t>
      </w:r>
      <w:r w:rsidRPr="0068072A">
        <w:rPr>
          <w:b/>
          <w:sz w:val="14"/>
          <w:szCs w:val="14"/>
        </w:rPr>
        <w:t xml:space="preserve">71: </w:t>
      </w:r>
      <w:r w:rsidRPr="0068072A">
        <w:rPr>
          <w:sz w:val="14"/>
          <w:szCs w:val="14"/>
        </w:rPr>
        <w:t>618–29.</w:t>
      </w:r>
    </w:p>
    <w:p w14:paraId="74F77AF8"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Shen G, Deng H, Hu S, Jia Z. Comparison of choline-PET/CT, MRI, SPECT, and bone scintigraphy in the diagnosis of bone metastases in patients with prostate cancer: a meta-analysis. </w:t>
      </w:r>
      <w:r w:rsidRPr="0068072A">
        <w:rPr>
          <w:i/>
          <w:sz w:val="14"/>
          <w:szCs w:val="14"/>
        </w:rPr>
        <w:t xml:space="preserve">Skeletal Radiol </w:t>
      </w:r>
      <w:r w:rsidRPr="0068072A">
        <w:rPr>
          <w:sz w:val="14"/>
          <w:szCs w:val="14"/>
        </w:rPr>
        <w:t xml:space="preserve">2014; </w:t>
      </w:r>
      <w:r w:rsidRPr="0068072A">
        <w:rPr>
          <w:b/>
          <w:sz w:val="14"/>
          <w:szCs w:val="14"/>
        </w:rPr>
        <w:t xml:space="preserve">43: </w:t>
      </w:r>
      <w:r w:rsidRPr="0068072A">
        <w:rPr>
          <w:sz w:val="14"/>
          <w:szCs w:val="14"/>
        </w:rPr>
        <w:t>1503–13.</w:t>
      </w:r>
    </w:p>
    <w:p w14:paraId="5535667E"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Hövels AM, Heesakkers RAM, Adang EM, et al. The diagnostic accuracy of CT and MRI in the staging of pelvic lymph nodes in patients with prostate cancer: a meta-analysis. </w:t>
      </w:r>
      <w:r w:rsidRPr="0068072A">
        <w:rPr>
          <w:i/>
          <w:sz w:val="14"/>
          <w:szCs w:val="14"/>
        </w:rPr>
        <w:t xml:space="preserve">Clin Radiol </w:t>
      </w:r>
      <w:r w:rsidRPr="0068072A">
        <w:rPr>
          <w:sz w:val="14"/>
          <w:szCs w:val="14"/>
        </w:rPr>
        <w:t xml:space="preserve">2008; </w:t>
      </w:r>
      <w:r w:rsidRPr="0068072A">
        <w:rPr>
          <w:b/>
          <w:sz w:val="14"/>
          <w:szCs w:val="14"/>
        </w:rPr>
        <w:t xml:space="preserve">63: </w:t>
      </w:r>
      <w:r w:rsidRPr="0068072A">
        <w:rPr>
          <w:sz w:val="14"/>
          <w:szCs w:val="14"/>
        </w:rPr>
        <w:t>387–95.</w:t>
      </w:r>
    </w:p>
    <w:p w14:paraId="1840E25E" w14:textId="43C9DB25"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Wondergem M, van der Zant FM, van der Ploeg T, Knol RJJ. </w:t>
      </w:r>
      <w:r w:rsidRPr="0068072A">
        <w:rPr>
          <w:sz w:val="14"/>
          <w:szCs w:val="14"/>
        </w:rPr>
        <w:t>A literature review of 18F-fluoride PET/CT and 18F-choline or</w:t>
      </w:r>
      <w:r>
        <w:rPr>
          <w:sz w:val="14"/>
          <w:szCs w:val="14"/>
        </w:rPr>
        <w:t xml:space="preserve"> </w:t>
      </w:r>
      <w:r w:rsidRPr="0068072A">
        <w:rPr>
          <w:sz w:val="14"/>
          <w:szCs w:val="14"/>
        </w:rPr>
        <w:t xml:space="preserve">11C-choline PET/CT for detection of bone metastases in patients with prostate cancer. </w:t>
      </w:r>
      <w:r w:rsidRPr="0068072A">
        <w:rPr>
          <w:i/>
          <w:sz w:val="14"/>
          <w:szCs w:val="14"/>
        </w:rPr>
        <w:t xml:space="preserve">Nucl Med Commun </w:t>
      </w:r>
      <w:r w:rsidRPr="0068072A">
        <w:rPr>
          <w:sz w:val="14"/>
          <w:szCs w:val="14"/>
        </w:rPr>
        <w:t xml:space="preserve">2013; </w:t>
      </w:r>
      <w:r w:rsidRPr="0068072A">
        <w:rPr>
          <w:b/>
          <w:sz w:val="14"/>
          <w:szCs w:val="14"/>
        </w:rPr>
        <w:t xml:space="preserve">34: </w:t>
      </w:r>
      <w:r w:rsidRPr="0068072A">
        <w:rPr>
          <w:sz w:val="14"/>
          <w:szCs w:val="14"/>
        </w:rPr>
        <w:t>935–45.</w:t>
      </w:r>
    </w:p>
    <w:p w14:paraId="0C38DE3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Evangelista L, Zattoni F, Guttilla A, et al. Choline PET or PET/CT and biochemical relapse of prostate cancer. </w:t>
      </w:r>
      <w:r w:rsidRPr="0068072A">
        <w:rPr>
          <w:i/>
          <w:sz w:val="14"/>
          <w:szCs w:val="14"/>
        </w:rPr>
        <w:t xml:space="preserve">Clin Nucl Med </w:t>
      </w:r>
      <w:r w:rsidRPr="0068072A">
        <w:rPr>
          <w:sz w:val="14"/>
          <w:szCs w:val="14"/>
        </w:rPr>
        <w:t xml:space="preserve">2013; </w:t>
      </w:r>
      <w:r w:rsidRPr="0068072A">
        <w:rPr>
          <w:b/>
          <w:sz w:val="14"/>
          <w:szCs w:val="14"/>
        </w:rPr>
        <w:t xml:space="preserve">38: </w:t>
      </w:r>
      <w:r w:rsidRPr="0068072A">
        <w:rPr>
          <w:sz w:val="14"/>
          <w:szCs w:val="14"/>
        </w:rPr>
        <w:t>305–14.</w:t>
      </w:r>
    </w:p>
    <w:p w14:paraId="5F1E9D5F" w14:textId="37150679"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Fanti S, Minozzi S, Castellucci P, et al. PET/CT with ¹¹C-choline for evaluation of prostate cancer patients with biochemical recurrence: meta-analysis and critical review of available data.</w:t>
      </w:r>
      <w:r>
        <w:rPr>
          <w:sz w:val="14"/>
          <w:szCs w:val="14"/>
        </w:rPr>
        <w:t xml:space="preserve"> </w:t>
      </w:r>
      <w:r w:rsidRPr="0068072A">
        <w:rPr>
          <w:i/>
          <w:sz w:val="14"/>
          <w:szCs w:val="14"/>
        </w:rPr>
        <w:t xml:space="preserve">Eur J Nucl Med Mol Imaging </w:t>
      </w:r>
      <w:r w:rsidRPr="0068072A">
        <w:rPr>
          <w:sz w:val="14"/>
          <w:szCs w:val="14"/>
        </w:rPr>
        <w:t xml:space="preserve">2016; </w:t>
      </w:r>
      <w:r w:rsidRPr="0068072A">
        <w:rPr>
          <w:b/>
          <w:sz w:val="14"/>
          <w:szCs w:val="14"/>
        </w:rPr>
        <w:t xml:space="preserve">43: </w:t>
      </w:r>
      <w:r w:rsidRPr="0068072A">
        <w:rPr>
          <w:sz w:val="14"/>
          <w:szCs w:val="14"/>
        </w:rPr>
        <w:t>55–69.</w:t>
      </w:r>
    </w:p>
    <w:p w14:paraId="5D73C8C1" w14:textId="36A86CD6"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von Eyben FE, Kairemo K. Acquisition with ¹¹C-choline and</w:t>
      </w:r>
      <w:r>
        <w:rPr>
          <w:sz w:val="14"/>
          <w:szCs w:val="14"/>
        </w:rPr>
        <w:t xml:space="preserve"> </w:t>
      </w:r>
      <w:r w:rsidRPr="0068072A">
        <w:rPr>
          <w:sz w:val="14"/>
          <w:szCs w:val="14"/>
        </w:rPr>
        <w:t>¹⁸F-fluorocholine PET/CT for patients with biochemical recurrence of prostate cancer: a systematic review and meta-analysis.</w:t>
      </w:r>
      <w:r>
        <w:rPr>
          <w:sz w:val="14"/>
          <w:szCs w:val="14"/>
        </w:rPr>
        <w:t xml:space="preserve"> </w:t>
      </w:r>
      <w:r w:rsidRPr="0068072A">
        <w:rPr>
          <w:i/>
          <w:sz w:val="14"/>
          <w:szCs w:val="14"/>
        </w:rPr>
        <w:t xml:space="preserve">Ann Nucl Med </w:t>
      </w:r>
      <w:r w:rsidRPr="0068072A">
        <w:rPr>
          <w:sz w:val="14"/>
          <w:szCs w:val="14"/>
        </w:rPr>
        <w:t xml:space="preserve">2016; </w:t>
      </w:r>
      <w:r w:rsidRPr="0068072A">
        <w:rPr>
          <w:b/>
          <w:sz w:val="14"/>
          <w:szCs w:val="14"/>
        </w:rPr>
        <w:t xml:space="preserve">30: </w:t>
      </w:r>
      <w:r w:rsidRPr="0068072A">
        <w:rPr>
          <w:sz w:val="14"/>
          <w:szCs w:val="14"/>
        </w:rPr>
        <w:t>385–92.</w:t>
      </w:r>
    </w:p>
    <w:p w14:paraId="3DE987F4"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Evangelista L, Guttilla A, Zattoni F, Muzzio PC, Zattoni F. Utility of choline positron emission tomography/computed tomography for lymph node involvement identification in intermediate- to high-risk prostate cancer: a systematic literature review and meta-analysis. </w:t>
      </w:r>
      <w:r w:rsidRPr="0068072A">
        <w:rPr>
          <w:i/>
          <w:sz w:val="14"/>
          <w:szCs w:val="14"/>
        </w:rPr>
        <w:t xml:space="preserve">Eur Urol </w:t>
      </w:r>
      <w:r w:rsidRPr="0068072A">
        <w:rPr>
          <w:sz w:val="14"/>
          <w:szCs w:val="14"/>
        </w:rPr>
        <w:t xml:space="preserve">2013; </w:t>
      </w:r>
      <w:r w:rsidRPr="0068072A">
        <w:rPr>
          <w:b/>
          <w:sz w:val="14"/>
          <w:szCs w:val="14"/>
        </w:rPr>
        <w:t xml:space="preserve">63: </w:t>
      </w:r>
      <w:r w:rsidRPr="0068072A">
        <w:rPr>
          <w:sz w:val="14"/>
          <w:szCs w:val="14"/>
        </w:rPr>
        <w:t>1040–48.</w:t>
      </w:r>
    </w:p>
    <w:p w14:paraId="43116E70"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Umbehr MH, Müntener M, Hany T, Sulser T, Bachmann LM. </w:t>
      </w:r>
      <w:r w:rsidRPr="0068072A">
        <w:rPr>
          <w:sz w:val="14"/>
          <w:szCs w:val="14"/>
        </w:rPr>
        <w:t xml:space="preserve">The role of ¹¹C-choline and ¹⁸F-fluorocholine positron emission tomography (PET) and PET/CT in prostate cancer: a systematic review and meta-analysis. </w:t>
      </w:r>
      <w:r w:rsidRPr="0068072A">
        <w:rPr>
          <w:i/>
          <w:sz w:val="14"/>
          <w:szCs w:val="14"/>
        </w:rPr>
        <w:t xml:space="preserve">Eur Urol </w:t>
      </w:r>
      <w:r w:rsidRPr="0068072A">
        <w:rPr>
          <w:sz w:val="14"/>
          <w:szCs w:val="14"/>
        </w:rPr>
        <w:t xml:space="preserve">2013; </w:t>
      </w:r>
      <w:r w:rsidRPr="0068072A">
        <w:rPr>
          <w:b/>
          <w:sz w:val="14"/>
          <w:szCs w:val="14"/>
        </w:rPr>
        <w:t xml:space="preserve">64: </w:t>
      </w:r>
      <w:r w:rsidRPr="0068072A">
        <w:rPr>
          <w:sz w:val="14"/>
          <w:szCs w:val="14"/>
        </w:rPr>
        <w:t>106–17.</w:t>
      </w:r>
    </w:p>
    <w:p w14:paraId="722FB7B9" w14:textId="7A3283A4"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Bauman G, Belhocine T, Kovacs M, Ward A, Beheshti M, Rachinsky I. ¹⁸F-fluorocholine for prostate cancer imaging: a systematic review of the literature. </w:t>
      </w:r>
      <w:r w:rsidRPr="0068072A">
        <w:rPr>
          <w:i/>
          <w:sz w:val="14"/>
          <w:szCs w:val="14"/>
        </w:rPr>
        <w:t xml:space="preserve">Prostate Cancer Prostatic Dis </w:t>
      </w:r>
      <w:r w:rsidRPr="0068072A">
        <w:rPr>
          <w:sz w:val="14"/>
          <w:szCs w:val="14"/>
        </w:rPr>
        <w:t xml:space="preserve">2012; </w:t>
      </w:r>
      <w:r w:rsidRPr="0068072A">
        <w:rPr>
          <w:b/>
          <w:sz w:val="14"/>
          <w:szCs w:val="14"/>
        </w:rPr>
        <w:t xml:space="preserve">15: </w:t>
      </w:r>
      <w:r w:rsidRPr="0068072A">
        <w:rPr>
          <w:sz w:val="14"/>
          <w:szCs w:val="14"/>
        </w:rPr>
        <w:t>45–55.</w:t>
      </w:r>
    </w:p>
    <w:p w14:paraId="45DF3A69" w14:textId="40BBF14F"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Perera M, Papa N, Christidis D, et al. Sensitivity, specificity, and predictors of positive ⁶⁸Ga–prostate-specific membrane antigen positron emission tomography in advanced prostate cancer:</w:t>
      </w:r>
      <w:r>
        <w:rPr>
          <w:sz w:val="14"/>
          <w:szCs w:val="14"/>
        </w:rPr>
        <w:t xml:space="preserve"> </w:t>
      </w:r>
      <w:r w:rsidRPr="0068072A">
        <w:rPr>
          <w:sz w:val="14"/>
          <w:szCs w:val="14"/>
        </w:rPr>
        <w:t xml:space="preserve">a systematic review and meta-analysis. </w:t>
      </w:r>
      <w:r w:rsidRPr="0068072A">
        <w:rPr>
          <w:i/>
          <w:sz w:val="14"/>
          <w:szCs w:val="14"/>
        </w:rPr>
        <w:t xml:space="preserve">Eur Urol </w:t>
      </w:r>
      <w:r w:rsidRPr="0068072A">
        <w:rPr>
          <w:sz w:val="14"/>
          <w:szCs w:val="14"/>
        </w:rPr>
        <w:t xml:space="preserve">2016; </w:t>
      </w:r>
      <w:r w:rsidRPr="0068072A">
        <w:rPr>
          <w:b/>
          <w:sz w:val="14"/>
          <w:szCs w:val="14"/>
        </w:rPr>
        <w:t xml:space="preserve">70: </w:t>
      </w:r>
      <w:r w:rsidRPr="0068072A">
        <w:rPr>
          <w:sz w:val="14"/>
          <w:szCs w:val="14"/>
        </w:rPr>
        <w:t>926–37.</w:t>
      </w:r>
    </w:p>
    <w:p w14:paraId="1FD0B6A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Ren J, Yuan L, Wen G, Yang J. The value of anti-1-amino-3–¹⁸F- fluorocyclobutane-1-carboxylic acid PET/CT in the diagnosis of recurrent prostate carcinoma: a meta-analysis. </w:t>
      </w:r>
      <w:r w:rsidRPr="0068072A">
        <w:rPr>
          <w:i/>
          <w:sz w:val="14"/>
          <w:szCs w:val="14"/>
        </w:rPr>
        <w:t xml:space="preserve">Acta Radiol </w:t>
      </w:r>
      <w:r w:rsidRPr="0068072A">
        <w:rPr>
          <w:sz w:val="14"/>
          <w:szCs w:val="14"/>
        </w:rPr>
        <w:t xml:space="preserve">2016; </w:t>
      </w:r>
      <w:r w:rsidRPr="0068072A">
        <w:rPr>
          <w:b/>
          <w:sz w:val="14"/>
          <w:szCs w:val="14"/>
        </w:rPr>
        <w:t xml:space="preserve">57: </w:t>
      </w:r>
      <w:r w:rsidRPr="0068072A">
        <w:rPr>
          <w:sz w:val="14"/>
          <w:szCs w:val="14"/>
        </w:rPr>
        <w:t>487–93.</w:t>
      </w:r>
    </w:p>
    <w:p w14:paraId="3DE8BBC1" w14:textId="77F3E434"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Silva RC da, Sasse AD, Matheus WE, Ferreira U. Magnetic resonance image in the diagnosis and evaluation of extra-prostatic extension and involvement of seminal vesicles of prostate cancer: a systematic review of literature and meta-analysis. </w:t>
      </w:r>
      <w:r w:rsidRPr="0068072A">
        <w:rPr>
          <w:i/>
          <w:sz w:val="14"/>
          <w:szCs w:val="14"/>
        </w:rPr>
        <w:t>Int Braz J Urol</w:t>
      </w:r>
      <w:r w:rsidRPr="0068072A">
        <w:rPr>
          <w:sz w:val="14"/>
          <w:szCs w:val="14"/>
        </w:rPr>
        <w:t xml:space="preserve">; </w:t>
      </w:r>
      <w:r w:rsidRPr="0068072A">
        <w:rPr>
          <w:b/>
          <w:sz w:val="14"/>
          <w:szCs w:val="14"/>
        </w:rPr>
        <w:t xml:space="preserve">39: </w:t>
      </w:r>
      <w:r w:rsidRPr="0068072A">
        <w:rPr>
          <w:sz w:val="14"/>
          <w:szCs w:val="14"/>
        </w:rPr>
        <w:t>155–66.</w:t>
      </w:r>
    </w:p>
    <w:p w14:paraId="2477C2F7"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Woo S, Suh CH, Kim SY, Cho JY, Kim SH. Diagnostic performance of magnetic resonance imaging for the detection of bone metastasis in prostate cancer: a systematic review and meta-analysis. </w:t>
      </w:r>
      <w:r w:rsidRPr="0068072A">
        <w:rPr>
          <w:i/>
          <w:sz w:val="14"/>
          <w:szCs w:val="14"/>
        </w:rPr>
        <w:t xml:space="preserve">Eur Urol </w:t>
      </w:r>
      <w:r w:rsidRPr="0068072A">
        <w:rPr>
          <w:sz w:val="14"/>
          <w:szCs w:val="14"/>
        </w:rPr>
        <w:t xml:space="preserve">2018; </w:t>
      </w:r>
      <w:r w:rsidRPr="0068072A">
        <w:rPr>
          <w:b/>
          <w:sz w:val="14"/>
          <w:szCs w:val="14"/>
        </w:rPr>
        <w:t xml:space="preserve">73: </w:t>
      </w:r>
      <w:r w:rsidRPr="0068072A">
        <w:rPr>
          <w:sz w:val="14"/>
          <w:szCs w:val="14"/>
        </w:rPr>
        <w:t>81–91.</w:t>
      </w:r>
    </w:p>
    <w:p w14:paraId="2BE51E02" w14:textId="3EF9A519"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Wu LM, Xu J-R, Gu HY, et al. </w:t>
      </w:r>
      <w:r w:rsidRPr="0068072A">
        <w:rPr>
          <w:sz w:val="14"/>
          <w:szCs w:val="14"/>
        </w:rPr>
        <w:t xml:space="preserve">Role of magnetic resonance imaging in the detection of local prostate cancer recurrence after external beam radiotherapy and radical prostatectomy. </w:t>
      </w:r>
      <w:r w:rsidRPr="0068072A">
        <w:rPr>
          <w:i/>
          <w:sz w:val="14"/>
          <w:szCs w:val="14"/>
        </w:rPr>
        <w:t xml:space="preserve">Clin Oncol </w:t>
      </w:r>
      <w:r w:rsidRPr="0068072A">
        <w:rPr>
          <w:sz w:val="14"/>
          <w:szCs w:val="14"/>
        </w:rPr>
        <w:t xml:space="preserve">2013; </w:t>
      </w:r>
      <w:r w:rsidRPr="0068072A">
        <w:rPr>
          <w:b/>
          <w:sz w:val="14"/>
          <w:szCs w:val="14"/>
        </w:rPr>
        <w:t xml:space="preserve">25: </w:t>
      </w:r>
      <w:r w:rsidRPr="0068072A">
        <w:rPr>
          <w:sz w:val="14"/>
          <w:szCs w:val="14"/>
        </w:rPr>
        <w:t>252–64.</w:t>
      </w:r>
    </w:p>
    <w:p w14:paraId="0FBCFA49"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Nilsson S, Franzén L, Parker C, et al. Two-year survival follow-up of the randomized, double-blind, placebo-controlled phase II study of radium-223 chloride in patients with castration-resistant prostate cancer and bone metastases. </w:t>
      </w:r>
      <w:r w:rsidRPr="0068072A">
        <w:rPr>
          <w:i/>
          <w:sz w:val="14"/>
          <w:szCs w:val="14"/>
        </w:rPr>
        <w:t xml:space="preserve">Clin Genitourin Cancer </w:t>
      </w:r>
      <w:r w:rsidRPr="0068072A">
        <w:rPr>
          <w:sz w:val="14"/>
          <w:szCs w:val="14"/>
        </w:rPr>
        <w:t xml:space="preserve">2013; </w:t>
      </w:r>
      <w:r w:rsidRPr="0068072A">
        <w:rPr>
          <w:b/>
          <w:sz w:val="14"/>
          <w:szCs w:val="14"/>
        </w:rPr>
        <w:t xml:space="preserve">11: </w:t>
      </w:r>
      <w:r w:rsidRPr="0068072A">
        <w:rPr>
          <w:sz w:val="14"/>
          <w:szCs w:val="14"/>
        </w:rPr>
        <w:t>20–26.</w:t>
      </w:r>
    </w:p>
    <w:p w14:paraId="5FDA87E7"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Parker C, Nilsson S, Heinrich D, et al. </w:t>
      </w:r>
      <w:r w:rsidRPr="0068072A">
        <w:rPr>
          <w:sz w:val="14"/>
          <w:szCs w:val="14"/>
        </w:rPr>
        <w:t xml:space="preserve">Alpha emitter radium-223 and survival in metastatic prostate cancer. </w:t>
      </w:r>
      <w:r w:rsidRPr="0068072A">
        <w:rPr>
          <w:i/>
          <w:sz w:val="14"/>
          <w:szCs w:val="14"/>
        </w:rPr>
        <w:t xml:space="preserve">N Engl J Med </w:t>
      </w:r>
      <w:r w:rsidRPr="0068072A">
        <w:rPr>
          <w:sz w:val="14"/>
          <w:szCs w:val="14"/>
        </w:rPr>
        <w:t xml:space="preserve">2013; </w:t>
      </w:r>
      <w:r w:rsidRPr="0068072A">
        <w:rPr>
          <w:b/>
          <w:sz w:val="14"/>
          <w:szCs w:val="14"/>
        </w:rPr>
        <w:t xml:space="preserve">369: </w:t>
      </w:r>
      <w:r w:rsidRPr="0068072A">
        <w:rPr>
          <w:sz w:val="14"/>
          <w:szCs w:val="14"/>
        </w:rPr>
        <w:t>213–23.</w:t>
      </w:r>
    </w:p>
    <w:p w14:paraId="2B0CA20B" w14:textId="4F0051A7"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Tunio M, Al Asiri M, Al Hadab A, Bayoumi Y. Comparative efficacy, tolerability, and survival outcomes of various radiopharmaceuticals in castration-resistant prostate cancer with bone metastasis: a meta-analysis of randomized controlled trials. </w:t>
      </w:r>
      <w:r w:rsidRPr="0068072A">
        <w:rPr>
          <w:i/>
          <w:sz w:val="14"/>
          <w:szCs w:val="14"/>
        </w:rPr>
        <w:t>Drug Des Devel Ther</w:t>
      </w:r>
      <w:r>
        <w:rPr>
          <w:i/>
          <w:sz w:val="14"/>
          <w:szCs w:val="14"/>
        </w:rPr>
        <w:t xml:space="preserve"> </w:t>
      </w:r>
      <w:r w:rsidRPr="0068072A">
        <w:rPr>
          <w:sz w:val="14"/>
          <w:szCs w:val="14"/>
        </w:rPr>
        <w:t xml:space="preserve">2015; </w:t>
      </w:r>
      <w:r w:rsidRPr="0068072A">
        <w:rPr>
          <w:b/>
          <w:sz w:val="14"/>
          <w:szCs w:val="14"/>
        </w:rPr>
        <w:t xml:space="preserve">9: </w:t>
      </w:r>
      <w:r w:rsidRPr="0068072A">
        <w:rPr>
          <w:sz w:val="14"/>
          <w:szCs w:val="14"/>
        </w:rPr>
        <w:t>5291–99.</w:t>
      </w:r>
    </w:p>
    <w:p w14:paraId="1EB14E13"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Delphi method. RAND Coroporation, 2018. </w:t>
      </w:r>
      <w:hyperlink r:id="rId11">
        <w:r w:rsidRPr="0068072A">
          <w:rPr>
            <w:rStyle w:val="Hyperlink"/>
            <w:sz w:val="14"/>
            <w:szCs w:val="14"/>
          </w:rPr>
          <w:t>https://www.rand.org/</w:t>
        </w:r>
      </w:hyperlink>
      <w:r w:rsidRPr="0068072A">
        <w:rPr>
          <w:sz w:val="14"/>
          <w:szCs w:val="14"/>
        </w:rPr>
        <w:t xml:space="preserve"> topics/delphi-method.html (accessed Nov 22, 2017).</w:t>
      </w:r>
    </w:p>
    <w:p w14:paraId="130CECB9"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Landis JR, Koch GG. The measurement of observer agreement for categorical data. </w:t>
      </w:r>
      <w:r w:rsidRPr="0068072A">
        <w:rPr>
          <w:i/>
          <w:sz w:val="14"/>
          <w:szCs w:val="14"/>
        </w:rPr>
        <w:t xml:space="preserve">Biometrics </w:t>
      </w:r>
      <w:r w:rsidRPr="0068072A">
        <w:rPr>
          <w:sz w:val="14"/>
          <w:szCs w:val="14"/>
        </w:rPr>
        <w:t xml:space="preserve">1977; </w:t>
      </w:r>
      <w:r w:rsidRPr="0068072A">
        <w:rPr>
          <w:b/>
          <w:sz w:val="14"/>
          <w:szCs w:val="14"/>
        </w:rPr>
        <w:t xml:space="preserve">33: </w:t>
      </w:r>
      <w:r w:rsidRPr="0068072A">
        <w:rPr>
          <w:sz w:val="14"/>
          <w:szCs w:val="14"/>
        </w:rPr>
        <w:t>159–74.</w:t>
      </w:r>
    </w:p>
    <w:p w14:paraId="71E2230F"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Bruinsma SM, Roobol MJ, Carroll PR, et al. Expert consensus document: Semantics in active surveillance for men with localized prostate cancer—results of a modified Delphi consensus procedure. </w:t>
      </w:r>
      <w:r w:rsidRPr="0068072A">
        <w:rPr>
          <w:i/>
          <w:sz w:val="14"/>
          <w:szCs w:val="14"/>
        </w:rPr>
        <w:t xml:space="preserve">Nat Rev Urol </w:t>
      </w:r>
      <w:r w:rsidRPr="0068072A">
        <w:rPr>
          <w:sz w:val="14"/>
          <w:szCs w:val="14"/>
        </w:rPr>
        <w:t xml:space="preserve">2017; </w:t>
      </w:r>
      <w:r w:rsidRPr="0068072A">
        <w:rPr>
          <w:b/>
          <w:sz w:val="14"/>
          <w:szCs w:val="14"/>
        </w:rPr>
        <w:t xml:space="preserve">14: </w:t>
      </w:r>
      <w:r w:rsidRPr="0068072A">
        <w:rPr>
          <w:sz w:val="14"/>
          <w:szCs w:val="14"/>
        </w:rPr>
        <w:t>312–22.</w:t>
      </w:r>
    </w:p>
    <w:p w14:paraId="0B67FCF3"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Kleynen M, Braun SM, Bleijlevens MH, et al. </w:t>
      </w:r>
      <w:r w:rsidRPr="0068072A">
        <w:rPr>
          <w:sz w:val="14"/>
          <w:szCs w:val="14"/>
        </w:rPr>
        <w:t xml:space="preserve">Using a Delphi technique to seek consensus regarding definitions, descriptions and classification of terms related to implicit and explicit forms of motor learning. </w:t>
      </w:r>
      <w:r w:rsidRPr="0068072A">
        <w:rPr>
          <w:i/>
          <w:sz w:val="14"/>
          <w:szCs w:val="14"/>
        </w:rPr>
        <w:t xml:space="preserve">PLoS One </w:t>
      </w:r>
      <w:r w:rsidRPr="0068072A">
        <w:rPr>
          <w:sz w:val="14"/>
          <w:szCs w:val="14"/>
        </w:rPr>
        <w:t xml:space="preserve">2014; </w:t>
      </w:r>
      <w:r w:rsidRPr="0068072A">
        <w:rPr>
          <w:b/>
          <w:sz w:val="14"/>
          <w:szCs w:val="14"/>
        </w:rPr>
        <w:t xml:space="preserve">9: </w:t>
      </w:r>
      <w:r w:rsidRPr="0068072A">
        <w:rPr>
          <w:sz w:val="14"/>
          <w:szCs w:val="14"/>
        </w:rPr>
        <w:t>e100227.</w:t>
      </w:r>
    </w:p>
    <w:p w14:paraId="2F5FAB8D"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Mokkink L, Terwee C, Knol D, et al. Protocol of the COSMIN study: consensus-based standards for the selection of health measurement instruments. </w:t>
      </w:r>
      <w:r w:rsidRPr="0068072A">
        <w:rPr>
          <w:i/>
          <w:sz w:val="14"/>
          <w:szCs w:val="14"/>
        </w:rPr>
        <w:t xml:space="preserve">BMC Med Res Methodol </w:t>
      </w:r>
      <w:r w:rsidRPr="0068072A">
        <w:rPr>
          <w:sz w:val="14"/>
          <w:szCs w:val="14"/>
        </w:rPr>
        <w:t xml:space="preserve">2006; </w:t>
      </w:r>
      <w:r w:rsidRPr="0068072A">
        <w:rPr>
          <w:b/>
          <w:sz w:val="14"/>
          <w:szCs w:val="14"/>
        </w:rPr>
        <w:t xml:space="preserve">6: </w:t>
      </w:r>
      <w:r w:rsidRPr="0068072A">
        <w:rPr>
          <w:sz w:val="14"/>
          <w:szCs w:val="14"/>
        </w:rPr>
        <w:t>2.</w:t>
      </w:r>
    </w:p>
    <w:p w14:paraId="6ADD3FC8" w14:textId="60802B8F"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Zafar SY, Currow DC, Cherny N, Strasser F, Fowler R,</w:t>
      </w:r>
      <w:r>
        <w:rPr>
          <w:sz w:val="14"/>
          <w:szCs w:val="14"/>
        </w:rPr>
        <w:t xml:space="preserve"> </w:t>
      </w:r>
      <w:r w:rsidRPr="0068072A">
        <w:rPr>
          <w:sz w:val="14"/>
          <w:szCs w:val="14"/>
        </w:rPr>
        <w:t xml:space="preserve">Abernethy AP. Consensus-based standards for best supportive care in clinical trials in advanced cancer. </w:t>
      </w:r>
      <w:r w:rsidRPr="0068072A">
        <w:rPr>
          <w:i/>
          <w:sz w:val="14"/>
          <w:szCs w:val="14"/>
        </w:rPr>
        <w:t xml:space="preserve">Lancet Oncol </w:t>
      </w:r>
      <w:r w:rsidRPr="0068072A">
        <w:rPr>
          <w:sz w:val="14"/>
          <w:szCs w:val="14"/>
        </w:rPr>
        <w:t xml:space="preserve">2012; </w:t>
      </w:r>
      <w:r w:rsidRPr="0068072A">
        <w:rPr>
          <w:b/>
          <w:sz w:val="14"/>
          <w:szCs w:val="14"/>
        </w:rPr>
        <w:t xml:space="preserve">13: </w:t>
      </w:r>
      <w:r w:rsidRPr="0068072A">
        <w:rPr>
          <w:sz w:val="14"/>
          <w:szCs w:val="14"/>
        </w:rPr>
        <w:t>e77–82.</w:t>
      </w:r>
    </w:p>
    <w:p w14:paraId="44E4D93C"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Hasson F, Keeney S, McKenna H. Research guidelines for the Delphi survey technique. </w:t>
      </w:r>
      <w:r w:rsidRPr="0068072A">
        <w:rPr>
          <w:i/>
          <w:sz w:val="14"/>
          <w:szCs w:val="14"/>
        </w:rPr>
        <w:t xml:space="preserve">J Adv Nurs </w:t>
      </w:r>
      <w:r w:rsidRPr="0068072A">
        <w:rPr>
          <w:sz w:val="14"/>
          <w:szCs w:val="14"/>
        </w:rPr>
        <w:t xml:space="preserve">2000; </w:t>
      </w:r>
      <w:r w:rsidRPr="0068072A">
        <w:rPr>
          <w:b/>
          <w:sz w:val="14"/>
          <w:szCs w:val="14"/>
        </w:rPr>
        <w:t xml:space="preserve">32: </w:t>
      </w:r>
      <w:r w:rsidRPr="0068072A">
        <w:rPr>
          <w:sz w:val="14"/>
          <w:szCs w:val="14"/>
        </w:rPr>
        <w:t>1008–15.</w:t>
      </w:r>
    </w:p>
    <w:p w14:paraId="255A1E70" w14:textId="1C524332"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Löfgren J, Mortensen J, Rasmussen SH, et al. </w:t>
      </w:r>
      <w:r w:rsidRPr="0068072A">
        <w:rPr>
          <w:sz w:val="14"/>
          <w:szCs w:val="14"/>
        </w:rPr>
        <w:t xml:space="preserve">A prospective study comparing ⁹⁹mTc-hydroxyethylene-diphosphonate planar bone scintigraphy and whole-body SPECT/CT with ¹⁸F-fluoride PET/CT and ¹⁸F-fluoride PET/MRI for diagnosing bone metastases. </w:t>
      </w:r>
      <w:r w:rsidRPr="0068072A">
        <w:rPr>
          <w:i/>
          <w:sz w:val="14"/>
          <w:szCs w:val="14"/>
        </w:rPr>
        <w:t xml:space="preserve">J Nucl Med </w:t>
      </w:r>
      <w:r w:rsidRPr="0068072A">
        <w:rPr>
          <w:sz w:val="14"/>
          <w:szCs w:val="14"/>
        </w:rPr>
        <w:t xml:space="preserve">2017; </w:t>
      </w:r>
      <w:r w:rsidRPr="0068072A">
        <w:rPr>
          <w:b/>
          <w:sz w:val="14"/>
          <w:szCs w:val="14"/>
        </w:rPr>
        <w:t xml:space="preserve">58: </w:t>
      </w:r>
      <w:r w:rsidRPr="0068072A">
        <w:rPr>
          <w:sz w:val="14"/>
          <w:szCs w:val="14"/>
        </w:rPr>
        <w:t>1778–85.</w:t>
      </w:r>
    </w:p>
    <w:p w14:paraId="1523DF65" w14:textId="55FB4A14"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Fonager RF, Zacho HD, Langkilde NC, et al. </w:t>
      </w:r>
      <w:r w:rsidRPr="0068072A">
        <w:rPr>
          <w:sz w:val="14"/>
          <w:szCs w:val="14"/>
        </w:rPr>
        <w:t xml:space="preserve">Diagnostic test accuracy study of ¹⁸F-sodium fluoride PET/CT, ⁹⁹mTc-labelled diphosphonate SPECT/CT, and planar bone scintigraphy for diagnosis of bone metastases in newly diagnosed, high-risk prostate cancer. </w:t>
      </w:r>
      <w:r w:rsidRPr="0068072A">
        <w:rPr>
          <w:i/>
          <w:sz w:val="14"/>
          <w:szCs w:val="14"/>
        </w:rPr>
        <w:t xml:space="preserve">Am J Nucl Med Mol Imaging </w:t>
      </w:r>
      <w:r w:rsidRPr="0068072A">
        <w:rPr>
          <w:sz w:val="14"/>
          <w:szCs w:val="14"/>
        </w:rPr>
        <w:t xml:space="preserve">2017; </w:t>
      </w:r>
      <w:r w:rsidRPr="0068072A">
        <w:rPr>
          <w:b/>
          <w:sz w:val="14"/>
          <w:szCs w:val="14"/>
        </w:rPr>
        <w:t xml:space="preserve">7: </w:t>
      </w:r>
      <w:r w:rsidRPr="0068072A">
        <w:rPr>
          <w:sz w:val="14"/>
          <w:szCs w:val="14"/>
        </w:rPr>
        <w:t>218–27.</w:t>
      </w:r>
    </w:p>
    <w:p w14:paraId="1C3DE9F4"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Crawford ED, Stone NN, Yu EY, et al. Challenges and recommendations for early identification of metastatic disease in prostate cancer. </w:t>
      </w:r>
      <w:r w:rsidRPr="0068072A">
        <w:rPr>
          <w:i/>
          <w:sz w:val="14"/>
          <w:szCs w:val="14"/>
        </w:rPr>
        <w:t xml:space="preserve">Urology </w:t>
      </w:r>
      <w:r w:rsidRPr="0068072A">
        <w:rPr>
          <w:sz w:val="14"/>
          <w:szCs w:val="14"/>
        </w:rPr>
        <w:t xml:space="preserve">2014; </w:t>
      </w:r>
      <w:r w:rsidRPr="0068072A">
        <w:rPr>
          <w:b/>
          <w:sz w:val="14"/>
          <w:szCs w:val="14"/>
        </w:rPr>
        <w:t xml:space="preserve">83: </w:t>
      </w:r>
      <w:r w:rsidRPr="0068072A">
        <w:rPr>
          <w:sz w:val="14"/>
          <w:szCs w:val="14"/>
        </w:rPr>
        <w:t>664–69.</w:t>
      </w:r>
    </w:p>
    <w:p w14:paraId="0E44FB54"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Barnes A, Alonzi R, Blackledge M, et al. UK quantitative WB-DWI technical workgroup: consensus meeting recommendations on optimisation, quality control, processing and analysis of quantitative whole-body diffusion-weighted imaging for cancer. </w:t>
      </w:r>
      <w:r w:rsidRPr="0068072A">
        <w:rPr>
          <w:i/>
          <w:sz w:val="14"/>
          <w:szCs w:val="14"/>
        </w:rPr>
        <w:t xml:space="preserve">Br J Radiol </w:t>
      </w:r>
      <w:r w:rsidRPr="0068072A">
        <w:rPr>
          <w:sz w:val="14"/>
          <w:szCs w:val="14"/>
        </w:rPr>
        <w:t xml:space="preserve">2018; </w:t>
      </w:r>
      <w:r w:rsidRPr="0068072A">
        <w:rPr>
          <w:b/>
          <w:sz w:val="14"/>
          <w:szCs w:val="14"/>
        </w:rPr>
        <w:t xml:space="preserve">91: </w:t>
      </w:r>
      <w:r w:rsidRPr="0068072A">
        <w:rPr>
          <w:sz w:val="14"/>
          <w:szCs w:val="14"/>
        </w:rPr>
        <w:t>20170577.</w:t>
      </w:r>
    </w:p>
    <w:p w14:paraId="076A7626"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Padhani AR, Lecouvet FE, Tunariu N, et al. METastasis reporting and data system for prostate cancer: practical guidelines for acquisition, interpretation, and reporting of whole-body magnetic resonance imaging-based evaluations of multiorgan involvement in advanced prostate cancer. </w:t>
      </w:r>
      <w:r w:rsidRPr="0068072A">
        <w:rPr>
          <w:i/>
          <w:sz w:val="14"/>
          <w:szCs w:val="14"/>
        </w:rPr>
        <w:t xml:space="preserve">Eur Urol </w:t>
      </w:r>
      <w:r w:rsidRPr="0068072A">
        <w:rPr>
          <w:sz w:val="14"/>
          <w:szCs w:val="14"/>
        </w:rPr>
        <w:t xml:space="preserve">2017; </w:t>
      </w:r>
      <w:r w:rsidRPr="0068072A">
        <w:rPr>
          <w:b/>
          <w:sz w:val="14"/>
          <w:szCs w:val="14"/>
        </w:rPr>
        <w:t xml:space="preserve">71: </w:t>
      </w:r>
      <w:r w:rsidRPr="0068072A">
        <w:rPr>
          <w:sz w:val="14"/>
          <w:szCs w:val="14"/>
        </w:rPr>
        <w:t>81–92.</w:t>
      </w:r>
    </w:p>
    <w:p w14:paraId="1A433EDD"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Parker C, Gillessen S, Heidenreich A, Horwich A. Cancer of the prostate: ESMO Clinical Practice Guidelines for diagnosis, treatment and follow-up. </w:t>
      </w:r>
      <w:r w:rsidRPr="0068072A">
        <w:rPr>
          <w:i/>
          <w:sz w:val="14"/>
          <w:szCs w:val="14"/>
        </w:rPr>
        <w:t xml:space="preserve">Ann Oncol </w:t>
      </w:r>
      <w:r w:rsidRPr="0068072A">
        <w:rPr>
          <w:sz w:val="14"/>
          <w:szCs w:val="14"/>
        </w:rPr>
        <w:t xml:space="preserve">2015; </w:t>
      </w:r>
      <w:r w:rsidRPr="0068072A">
        <w:rPr>
          <w:b/>
          <w:sz w:val="14"/>
          <w:szCs w:val="14"/>
        </w:rPr>
        <w:t xml:space="preserve">26: </w:t>
      </w:r>
      <w:r w:rsidRPr="0068072A">
        <w:rPr>
          <w:sz w:val="14"/>
          <w:szCs w:val="14"/>
        </w:rPr>
        <w:t>v69–77.</w:t>
      </w:r>
    </w:p>
    <w:p w14:paraId="20CF5A76"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Mohler JL, Armstrong AJ, Bahnson RR, et al. </w:t>
      </w:r>
      <w:r w:rsidRPr="0068072A">
        <w:rPr>
          <w:sz w:val="14"/>
          <w:szCs w:val="14"/>
        </w:rPr>
        <w:t xml:space="preserve">Prostate cancer, version 1.2016. </w:t>
      </w:r>
      <w:r w:rsidRPr="0068072A">
        <w:rPr>
          <w:i/>
          <w:sz w:val="14"/>
          <w:szCs w:val="14"/>
        </w:rPr>
        <w:t xml:space="preserve">J Natl Compr Canc Netw </w:t>
      </w:r>
      <w:r w:rsidRPr="0068072A">
        <w:rPr>
          <w:sz w:val="14"/>
          <w:szCs w:val="14"/>
        </w:rPr>
        <w:t xml:space="preserve">2016; </w:t>
      </w:r>
      <w:r w:rsidRPr="0068072A">
        <w:rPr>
          <w:b/>
          <w:sz w:val="14"/>
          <w:szCs w:val="14"/>
        </w:rPr>
        <w:t xml:space="preserve">14: </w:t>
      </w:r>
      <w:r w:rsidRPr="0068072A">
        <w:rPr>
          <w:sz w:val="14"/>
          <w:szCs w:val="14"/>
        </w:rPr>
        <w:t>19–30.</w:t>
      </w:r>
    </w:p>
    <w:p w14:paraId="77CF500A" w14:textId="5846F542"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Rauscher I, Maurer T, Beer AJ, et al. </w:t>
      </w:r>
      <w:r w:rsidRPr="0068072A">
        <w:rPr>
          <w:sz w:val="14"/>
          <w:szCs w:val="14"/>
        </w:rPr>
        <w:t xml:space="preserve">Value of ⁶⁸Ga-PSMA HBED-CC PET for the assessment of lymph node metastases in prostate cancer patients with biochemical recurrence: comparison with histopathology after salvage lymphadenectomy. </w:t>
      </w:r>
      <w:r w:rsidRPr="0068072A">
        <w:rPr>
          <w:i/>
          <w:sz w:val="14"/>
          <w:szCs w:val="14"/>
        </w:rPr>
        <w:t xml:space="preserve">J Nucl Med </w:t>
      </w:r>
      <w:r w:rsidRPr="0068072A">
        <w:rPr>
          <w:sz w:val="14"/>
          <w:szCs w:val="14"/>
        </w:rPr>
        <w:t xml:space="preserve">2016; </w:t>
      </w:r>
      <w:r w:rsidRPr="0068072A">
        <w:rPr>
          <w:b/>
          <w:sz w:val="14"/>
          <w:szCs w:val="14"/>
        </w:rPr>
        <w:t xml:space="preserve">57: </w:t>
      </w:r>
      <w:r w:rsidRPr="0068072A">
        <w:rPr>
          <w:sz w:val="14"/>
          <w:szCs w:val="14"/>
        </w:rPr>
        <w:t>1713–19.</w:t>
      </w:r>
    </w:p>
    <w:p w14:paraId="673E91B5"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Emmett L, van Leeuwen PJ, Nandurkar R, et al. </w:t>
      </w:r>
      <w:r w:rsidRPr="0068072A">
        <w:rPr>
          <w:sz w:val="14"/>
          <w:szCs w:val="14"/>
        </w:rPr>
        <w:t xml:space="preserve">Treatment outcomes from ⁶⁸Ga-PSMA PET/CT-informed salvage radiation treatment in men with rising PSA after radical prostatectomy: prognostic value of a negative PSMA PET. </w:t>
      </w:r>
      <w:r w:rsidRPr="0068072A">
        <w:rPr>
          <w:i/>
          <w:sz w:val="14"/>
          <w:szCs w:val="14"/>
        </w:rPr>
        <w:t xml:space="preserve">J Nucl Med </w:t>
      </w:r>
      <w:r w:rsidRPr="0068072A">
        <w:rPr>
          <w:sz w:val="14"/>
          <w:szCs w:val="14"/>
        </w:rPr>
        <w:t xml:space="preserve">2017; </w:t>
      </w:r>
      <w:r w:rsidRPr="0068072A">
        <w:rPr>
          <w:b/>
          <w:sz w:val="14"/>
          <w:szCs w:val="14"/>
        </w:rPr>
        <w:t xml:space="preserve">58: </w:t>
      </w:r>
      <w:r w:rsidRPr="0068072A">
        <w:rPr>
          <w:sz w:val="14"/>
          <w:szCs w:val="14"/>
        </w:rPr>
        <w:t>1972–76.</w:t>
      </w:r>
    </w:p>
    <w:p w14:paraId="6668B32E"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Calais J, Czernin J, Cao M, et al. ⁶⁸Ga-PSMA-11 PET/CT mapping of prostate cancer biochemical recurrence after radical prostatectomy in 270 patients with a PSA level of less than 1·0 ng/mL: impact on salvage radiotherapy planning. </w:t>
      </w:r>
      <w:r w:rsidRPr="0068072A">
        <w:rPr>
          <w:i/>
          <w:sz w:val="14"/>
          <w:szCs w:val="14"/>
        </w:rPr>
        <w:t xml:space="preserve">J Nucl Med </w:t>
      </w:r>
      <w:r w:rsidRPr="0068072A">
        <w:rPr>
          <w:sz w:val="14"/>
          <w:szCs w:val="14"/>
        </w:rPr>
        <w:t xml:space="preserve">2018; </w:t>
      </w:r>
      <w:r w:rsidRPr="0068072A">
        <w:rPr>
          <w:b/>
          <w:sz w:val="14"/>
          <w:szCs w:val="14"/>
        </w:rPr>
        <w:t xml:space="preserve">59: </w:t>
      </w:r>
      <w:r w:rsidRPr="0068072A">
        <w:rPr>
          <w:sz w:val="14"/>
          <w:szCs w:val="14"/>
        </w:rPr>
        <w:t>230–37.</w:t>
      </w:r>
    </w:p>
    <w:p w14:paraId="59AED12A"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Hofman MS, Violet J, Hicks RJ, et al. [¹⁷⁷Lu]-PSMA-617 radionuclide treatment in patients with metastatic castration-resistant prostate cancer (LuPSMA trial): a single-centre, single-arm, phase 2 study. </w:t>
      </w:r>
      <w:r w:rsidRPr="0068072A">
        <w:rPr>
          <w:i/>
          <w:sz w:val="14"/>
          <w:szCs w:val="14"/>
        </w:rPr>
        <w:t xml:space="preserve">Lancet Oncol </w:t>
      </w:r>
      <w:r w:rsidRPr="0068072A">
        <w:rPr>
          <w:sz w:val="14"/>
          <w:szCs w:val="14"/>
        </w:rPr>
        <w:t xml:space="preserve">2018; </w:t>
      </w:r>
      <w:r w:rsidRPr="0068072A">
        <w:rPr>
          <w:b/>
          <w:sz w:val="14"/>
          <w:szCs w:val="14"/>
        </w:rPr>
        <w:t xml:space="preserve">19: </w:t>
      </w:r>
      <w:r w:rsidRPr="0068072A">
        <w:rPr>
          <w:sz w:val="14"/>
          <w:szCs w:val="14"/>
        </w:rPr>
        <w:t>825–33.</w:t>
      </w:r>
    </w:p>
    <w:p w14:paraId="229B0FDA"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Zschaeck S, Wust P, Beck M, et al. Intermediate-term outcome after PSMA-PET guided high-dose radiotherapy of </w:t>
      </w:r>
      <w:r w:rsidRPr="0068072A">
        <w:rPr>
          <w:sz w:val="14"/>
          <w:szCs w:val="14"/>
        </w:rPr>
        <w:t xml:space="preserve">recurrent high-risk prostate cancer patients. </w:t>
      </w:r>
      <w:r w:rsidRPr="0068072A">
        <w:rPr>
          <w:i/>
          <w:sz w:val="14"/>
          <w:szCs w:val="14"/>
        </w:rPr>
        <w:t xml:space="preserve">Radiat Oncol </w:t>
      </w:r>
      <w:r w:rsidRPr="0068072A">
        <w:rPr>
          <w:sz w:val="14"/>
          <w:szCs w:val="14"/>
        </w:rPr>
        <w:t xml:space="preserve">2017; </w:t>
      </w:r>
      <w:r w:rsidRPr="0068072A">
        <w:rPr>
          <w:b/>
          <w:sz w:val="14"/>
          <w:szCs w:val="14"/>
        </w:rPr>
        <w:t xml:space="preserve">12: </w:t>
      </w:r>
      <w:r w:rsidRPr="0068072A">
        <w:rPr>
          <w:sz w:val="14"/>
          <w:szCs w:val="14"/>
        </w:rPr>
        <w:t>140.</w:t>
      </w:r>
    </w:p>
    <w:p w14:paraId="31BBDEA3"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Schmidt-Hegemann N-S, Fendler WP, Ilhan H, et al. </w:t>
      </w:r>
      <w:r w:rsidRPr="0068072A">
        <w:rPr>
          <w:sz w:val="14"/>
          <w:szCs w:val="14"/>
        </w:rPr>
        <w:t xml:space="preserve">Outcome after PSMA PET/CT based radiotherapy in patients with biochemical persistence or recurrence after radical prostatectomy. </w:t>
      </w:r>
      <w:r w:rsidRPr="0068072A">
        <w:rPr>
          <w:i/>
          <w:sz w:val="14"/>
          <w:szCs w:val="14"/>
        </w:rPr>
        <w:t xml:space="preserve">Radiat Oncol </w:t>
      </w:r>
      <w:r w:rsidRPr="0068072A">
        <w:rPr>
          <w:sz w:val="14"/>
          <w:szCs w:val="14"/>
        </w:rPr>
        <w:t xml:space="preserve">2018; </w:t>
      </w:r>
      <w:r w:rsidRPr="0068072A">
        <w:rPr>
          <w:b/>
          <w:sz w:val="14"/>
          <w:szCs w:val="14"/>
        </w:rPr>
        <w:t xml:space="preserve">13: </w:t>
      </w:r>
      <w:r w:rsidRPr="0068072A">
        <w:rPr>
          <w:sz w:val="14"/>
          <w:szCs w:val="14"/>
        </w:rPr>
        <w:t>37.</w:t>
      </w:r>
    </w:p>
    <w:p w14:paraId="5D01B801" w14:textId="1CDAF102"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lang w:val="de-AT"/>
        </w:rPr>
        <w:t xml:space="preserve">von Eyben FE, Roviello G, Kiljunen T, et al. </w:t>
      </w:r>
      <w:r w:rsidRPr="0068072A">
        <w:rPr>
          <w:sz w:val="14"/>
          <w:szCs w:val="14"/>
        </w:rPr>
        <w:t xml:space="preserve">Third-line treatment and ¹⁷⁷Lu-PSMA radioligand therapy of metastatic castration-resistant prostate cancer: a systematic review. </w:t>
      </w:r>
      <w:r w:rsidRPr="0068072A">
        <w:rPr>
          <w:i/>
          <w:sz w:val="14"/>
          <w:szCs w:val="14"/>
        </w:rPr>
        <w:t xml:space="preserve">Eur J Nucl Med Mol Imaging </w:t>
      </w:r>
      <w:r w:rsidRPr="0068072A">
        <w:rPr>
          <w:sz w:val="14"/>
          <w:szCs w:val="14"/>
        </w:rPr>
        <w:t xml:space="preserve">2018; </w:t>
      </w:r>
      <w:r w:rsidRPr="0068072A">
        <w:rPr>
          <w:b/>
          <w:sz w:val="14"/>
          <w:szCs w:val="14"/>
        </w:rPr>
        <w:t xml:space="preserve">45: </w:t>
      </w:r>
      <w:r w:rsidRPr="0068072A">
        <w:rPr>
          <w:sz w:val="14"/>
          <w:szCs w:val="14"/>
        </w:rPr>
        <w:t>496–508.</w:t>
      </w:r>
    </w:p>
    <w:p w14:paraId="72383AF4" w14:textId="2C91D9F0"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Abeysekera B, Baxendale RJ, Bhatnagar A, et al. Good practice for introducing radiopharmaceuticals for clinical use. Vienna: International Atomic Energy Agency, 2016. </w:t>
      </w:r>
      <w:hyperlink r:id="rId12">
        <w:r w:rsidRPr="0068072A">
          <w:rPr>
            <w:rStyle w:val="Hyperlink"/>
            <w:sz w:val="14"/>
            <w:szCs w:val="14"/>
          </w:rPr>
          <w:t>http://www-</w:t>
        </w:r>
      </w:hyperlink>
      <w:r w:rsidRPr="0068072A">
        <w:rPr>
          <w:sz w:val="14"/>
          <w:szCs w:val="14"/>
        </w:rPr>
        <w:t xml:space="preserve"> pub.iaea.org/MTCD/Publications/PDF/TE-1782_web.pdf (accessed Feb 10, 2018).</w:t>
      </w:r>
    </w:p>
    <w:p w14:paraId="4CE81CD7" w14:textId="33FF035A" w:rsidR="0068072A" w:rsidRPr="0068072A" w:rsidRDefault="0068072A" w:rsidP="009A7522">
      <w:pPr>
        <w:pStyle w:val="FliesstextSpalten"/>
        <w:numPr>
          <w:ilvl w:val="0"/>
          <w:numId w:val="1"/>
        </w:numPr>
        <w:spacing w:before="0" w:line="180" w:lineRule="exact"/>
        <w:jc w:val="both"/>
        <w:rPr>
          <w:sz w:val="14"/>
          <w:szCs w:val="14"/>
        </w:rPr>
      </w:pPr>
      <w:r w:rsidRPr="0068072A">
        <w:rPr>
          <w:sz w:val="14"/>
          <w:szCs w:val="14"/>
        </w:rPr>
        <w:t xml:space="preserve">Etchebehere E, Brito AE, Rezaee A, Langsteger W, Beheshti M. Therapy assessment of bone metastatic disease in the era of ²²³radium. </w:t>
      </w:r>
      <w:r w:rsidRPr="0068072A">
        <w:rPr>
          <w:i/>
          <w:sz w:val="14"/>
          <w:szCs w:val="14"/>
        </w:rPr>
        <w:t xml:space="preserve">Eur J Nucl Med Mol Imaging </w:t>
      </w:r>
      <w:r w:rsidRPr="0068072A">
        <w:rPr>
          <w:sz w:val="14"/>
          <w:szCs w:val="14"/>
        </w:rPr>
        <w:t xml:space="preserve">2017; </w:t>
      </w:r>
      <w:r w:rsidRPr="0068072A">
        <w:rPr>
          <w:b/>
          <w:sz w:val="14"/>
          <w:szCs w:val="14"/>
        </w:rPr>
        <w:t xml:space="preserve">44 </w:t>
      </w:r>
      <w:r w:rsidRPr="0068072A">
        <w:rPr>
          <w:sz w:val="14"/>
          <w:szCs w:val="14"/>
        </w:rPr>
        <w:t>(suppl 1)</w:t>
      </w:r>
      <w:r w:rsidRPr="0068072A">
        <w:rPr>
          <w:b/>
          <w:sz w:val="14"/>
          <w:szCs w:val="14"/>
        </w:rPr>
        <w:t xml:space="preserve">: </w:t>
      </w:r>
      <w:r w:rsidRPr="0068072A">
        <w:rPr>
          <w:sz w:val="14"/>
          <w:szCs w:val="14"/>
        </w:rPr>
        <w:t>84–96.</w:t>
      </w:r>
    </w:p>
    <w:p w14:paraId="7FA73027"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Solomon M. Making Medical Knowledge, edn 1. Oxford: Oxford University Press, 2015.</w:t>
      </w:r>
    </w:p>
    <w:p w14:paraId="4BEF5662"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Hofmann B. Too much of a good thing is wonderful? A conceptual analysis of excessive examinations and diagnostic futility in diagnostic radiology. </w:t>
      </w:r>
      <w:r w:rsidRPr="0068072A">
        <w:rPr>
          <w:i/>
          <w:sz w:val="14"/>
          <w:szCs w:val="14"/>
        </w:rPr>
        <w:t xml:space="preserve">Med Heal Care Philos </w:t>
      </w:r>
      <w:r w:rsidRPr="0068072A">
        <w:rPr>
          <w:sz w:val="14"/>
          <w:szCs w:val="14"/>
        </w:rPr>
        <w:t xml:space="preserve">2010; </w:t>
      </w:r>
      <w:r w:rsidRPr="0068072A">
        <w:rPr>
          <w:b/>
          <w:sz w:val="14"/>
          <w:szCs w:val="14"/>
        </w:rPr>
        <w:t xml:space="preserve">13: </w:t>
      </w:r>
      <w:r w:rsidRPr="0068072A">
        <w:rPr>
          <w:sz w:val="14"/>
          <w:szCs w:val="14"/>
        </w:rPr>
        <w:t>139–48.</w:t>
      </w:r>
    </w:p>
    <w:p w14:paraId="37D1BE26"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Lalumera E, Fanti S. Randomized controlled trials for diagnostic imaging: conceptual and practical problems. </w:t>
      </w:r>
      <w:r w:rsidRPr="0068072A">
        <w:rPr>
          <w:i/>
          <w:sz w:val="14"/>
          <w:szCs w:val="14"/>
        </w:rPr>
        <w:t xml:space="preserve">Topoi </w:t>
      </w:r>
      <w:r w:rsidRPr="0068072A">
        <w:rPr>
          <w:sz w:val="14"/>
          <w:szCs w:val="14"/>
        </w:rPr>
        <w:t>2017; published online Dec 14. DOI:10.1007/s11245-017-9535-z.</w:t>
      </w:r>
    </w:p>
    <w:p w14:paraId="04789BC3" w14:textId="5930600C"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Recent updates to NCCN clinical practice guidelines in oncology. National Comprehensive Cancer Netwrok, 2018. https://www.nccn.org/professionals/physician_gls/recently_updated.aspx (accessed Jan 24, 2018).</w:t>
      </w:r>
    </w:p>
    <w:p w14:paraId="21FC4728"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Hicks RJ, Hofman MS. Is there still a role for SPECT–CT in oncology in the PET–CT era? </w:t>
      </w:r>
      <w:r w:rsidRPr="0068072A">
        <w:rPr>
          <w:i/>
          <w:sz w:val="14"/>
          <w:szCs w:val="14"/>
        </w:rPr>
        <w:t xml:space="preserve">Nat Rev Clin Oncol </w:t>
      </w:r>
      <w:r w:rsidRPr="0068072A">
        <w:rPr>
          <w:sz w:val="14"/>
          <w:szCs w:val="14"/>
        </w:rPr>
        <w:t xml:space="preserve">2012; </w:t>
      </w:r>
      <w:r w:rsidRPr="0068072A">
        <w:rPr>
          <w:b/>
          <w:sz w:val="14"/>
          <w:szCs w:val="14"/>
        </w:rPr>
        <w:t xml:space="preserve">9: </w:t>
      </w:r>
      <w:r w:rsidRPr="0068072A">
        <w:rPr>
          <w:sz w:val="14"/>
          <w:szCs w:val="14"/>
        </w:rPr>
        <w:t>712–20.</w:t>
      </w:r>
    </w:p>
    <w:p w14:paraId="66428FAA"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Hicks RJ. The injustice of being judged by the errors of others: the tragic tale of the battle for PET reimbursement. </w:t>
      </w:r>
      <w:r w:rsidRPr="0068072A">
        <w:rPr>
          <w:i/>
          <w:sz w:val="14"/>
          <w:szCs w:val="14"/>
        </w:rPr>
        <w:t xml:space="preserve">J Nucl Med </w:t>
      </w:r>
      <w:r w:rsidRPr="0068072A">
        <w:rPr>
          <w:sz w:val="14"/>
          <w:szCs w:val="14"/>
        </w:rPr>
        <w:t xml:space="preserve">2018; </w:t>
      </w:r>
      <w:r w:rsidRPr="0068072A">
        <w:rPr>
          <w:b/>
          <w:sz w:val="14"/>
          <w:szCs w:val="14"/>
        </w:rPr>
        <w:t xml:space="preserve">59: </w:t>
      </w:r>
      <w:r w:rsidRPr="0068072A">
        <w:rPr>
          <w:sz w:val="14"/>
          <w:szCs w:val="14"/>
        </w:rPr>
        <w:t>418–20.</w:t>
      </w:r>
    </w:p>
    <w:p w14:paraId="228E4733"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rPr>
        <w:t xml:space="preserve">Maurer T, Eiber M, Fanti S, Budäus L, Panebianco V. Imaging for prostate cancer recurrence. </w:t>
      </w:r>
      <w:r w:rsidRPr="0068072A">
        <w:rPr>
          <w:i/>
          <w:sz w:val="14"/>
          <w:szCs w:val="14"/>
        </w:rPr>
        <w:t xml:space="preserve">Eur Urol Focus </w:t>
      </w:r>
      <w:r w:rsidRPr="0068072A">
        <w:rPr>
          <w:sz w:val="14"/>
          <w:szCs w:val="14"/>
        </w:rPr>
        <w:t xml:space="preserve">2016; </w:t>
      </w:r>
      <w:r w:rsidRPr="0068072A">
        <w:rPr>
          <w:b/>
          <w:sz w:val="14"/>
          <w:szCs w:val="14"/>
        </w:rPr>
        <w:t xml:space="preserve">2: </w:t>
      </w:r>
      <w:r w:rsidRPr="0068072A">
        <w:rPr>
          <w:sz w:val="14"/>
          <w:szCs w:val="14"/>
        </w:rPr>
        <w:t>139–50.</w:t>
      </w:r>
    </w:p>
    <w:p w14:paraId="474E2C38" w14:textId="77777777" w:rsidR="0068072A" w:rsidRPr="0068072A" w:rsidRDefault="0068072A" w:rsidP="0068072A">
      <w:pPr>
        <w:pStyle w:val="FliesstextSpalten"/>
        <w:numPr>
          <w:ilvl w:val="0"/>
          <w:numId w:val="1"/>
        </w:numPr>
        <w:spacing w:before="0" w:line="180" w:lineRule="exact"/>
        <w:jc w:val="both"/>
        <w:rPr>
          <w:sz w:val="14"/>
          <w:szCs w:val="14"/>
        </w:rPr>
      </w:pPr>
      <w:r w:rsidRPr="0068072A">
        <w:rPr>
          <w:sz w:val="14"/>
          <w:szCs w:val="14"/>
          <w:lang w:val="de-AT"/>
        </w:rPr>
        <w:t xml:space="preserve">Mottet N, van den Bergh RCN, Briers E, et al. </w:t>
      </w:r>
      <w:r w:rsidRPr="0068072A">
        <w:rPr>
          <w:sz w:val="14"/>
          <w:szCs w:val="14"/>
        </w:rPr>
        <w:t xml:space="preserve">Prostate cancer. Arnhem: European Association of Urology, 2018. </w:t>
      </w:r>
      <w:hyperlink r:id="rId13">
        <w:r w:rsidRPr="0068072A">
          <w:rPr>
            <w:rStyle w:val="Hyperlink"/>
            <w:sz w:val="14"/>
            <w:szCs w:val="14"/>
          </w:rPr>
          <w:t>http://uroweb.</w:t>
        </w:r>
      </w:hyperlink>
      <w:r w:rsidRPr="0068072A">
        <w:rPr>
          <w:sz w:val="14"/>
          <w:szCs w:val="14"/>
        </w:rPr>
        <w:t xml:space="preserve"> org/guideline/prostate-cancer/ (accessed March 22, 2018).</w:t>
      </w:r>
    </w:p>
    <w:p w14:paraId="1D033F21" w14:textId="77777777" w:rsidR="0068072A" w:rsidRPr="0068072A" w:rsidRDefault="0068072A" w:rsidP="0068072A">
      <w:pPr>
        <w:pStyle w:val="FliesstextSpalten"/>
      </w:pPr>
    </w:p>
    <w:p w14:paraId="1249A36A" w14:textId="2164C935" w:rsidR="00BF6124" w:rsidRPr="0068072A" w:rsidRDefault="00BF6124" w:rsidP="0068072A">
      <w:pPr>
        <w:pStyle w:val="FliesstextSpalten"/>
        <w:ind w:firstLine="0"/>
      </w:pPr>
    </w:p>
    <w:sectPr w:rsidR="00BF6124" w:rsidRPr="0068072A" w:rsidSect="00245612">
      <w:type w:val="continuous"/>
      <w:pgSz w:w="11910" w:h="16840"/>
      <w:pgMar w:top="2835" w:right="1701" w:bottom="816" w:left="1418" w:header="720" w:footer="11" w:gutter="0"/>
      <w:cols w:num="2" w:space="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69BBA" w14:textId="77777777" w:rsidR="00CD586D" w:rsidRDefault="00CD586D" w:rsidP="000424E2">
      <w:r>
        <w:separator/>
      </w:r>
    </w:p>
  </w:endnote>
  <w:endnote w:type="continuationSeparator" w:id="0">
    <w:p w14:paraId="2015A25D" w14:textId="77777777" w:rsidR="00CD586D" w:rsidRDefault="00CD586D" w:rsidP="0004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yriadPro-Semibold">
    <w:altName w:val="Calibri"/>
    <w:panose1 w:val="020B0604020202020204"/>
    <w:charset w:val="00"/>
    <w:family w:val="swiss"/>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 w:name="Myriad Pro Light">
    <w:panose1 w:val="020B0403030403020204"/>
    <w:charset w:val="00"/>
    <w:family w:val="swiss"/>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Textkörper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32349964"/>
      <w:docPartObj>
        <w:docPartGallery w:val="Page Numbers (Bottom of Page)"/>
        <w:docPartUnique/>
      </w:docPartObj>
    </w:sdtPr>
    <w:sdtContent>
      <w:p w14:paraId="68AC97FB" w14:textId="6390DD6A" w:rsidR="009A7522" w:rsidRDefault="009A7522" w:rsidP="006D495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184906315"/>
      <w:docPartObj>
        <w:docPartGallery w:val="Page Numbers (Bottom of Page)"/>
        <w:docPartUnique/>
      </w:docPartObj>
    </w:sdtPr>
    <w:sdtContent>
      <w:p w14:paraId="2E6A0B78" w14:textId="74B30D25" w:rsidR="009A7522" w:rsidRDefault="009A7522" w:rsidP="0022053D">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704B099" w14:textId="77777777" w:rsidR="009A7522" w:rsidRDefault="009A7522" w:rsidP="006C3C27">
    <w:pPr>
      <w:pStyle w:val="Fuzeile"/>
      <w:ind w:right="360"/>
    </w:pPr>
  </w:p>
  <w:p w14:paraId="564272C7" w14:textId="77777777" w:rsidR="009A7522" w:rsidRDefault="009A7522"/>
  <w:p w14:paraId="6BAE4793" w14:textId="77777777" w:rsidR="009A7522" w:rsidRDefault="009A75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40E2F" w14:textId="20788A9C" w:rsidR="009A7522" w:rsidRPr="006C3C27" w:rsidRDefault="009A7522" w:rsidP="006C3C27">
    <w:pPr>
      <w:pStyle w:val="Fuzeile"/>
      <w:tabs>
        <w:tab w:val="left" w:pos="851"/>
      </w:tabs>
      <w:ind w:right="853" w:firstLine="851"/>
      <w:rPr>
        <w:lang w:val="de-AT"/>
      </w:rPr>
    </w:pPr>
    <w:r>
      <w:rPr>
        <w:noProof/>
      </w:rPr>
      <mc:AlternateContent>
        <mc:Choice Requires="wps">
          <w:drawing>
            <wp:anchor distT="0" distB="0" distL="114300" distR="114300" simplePos="0" relativeHeight="251661312" behindDoc="0" locked="0" layoutInCell="1" allowOverlap="1" wp14:anchorId="4126053C" wp14:editId="49CDC660">
              <wp:simplePos x="0" y="0"/>
              <wp:positionH relativeFrom="column">
                <wp:posOffset>4387850</wp:posOffset>
              </wp:positionH>
              <wp:positionV relativeFrom="paragraph">
                <wp:posOffset>132715</wp:posOffset>
              </wp:positionV>
              <wp:extent cx="1264285" cy="26225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264285" cy="262255"/>
                      </a:xfrm>
                      <a:prstGeom prst="rect">
                        <a:avLst/>
                      </a:prstGeom>
                      <a:noFill/>
                      <a:ln w="6350">
                        <a:noFill/>
                      </a:ln>
                    </wps:spPr>
                    <wps:txbx>
                      <w:txbxContent>
                        <w:p w14:paraId="10CF134B" w14:textId="70C8AB71" w:rsidR="009A7522" w:rsidRPr="00556DDC" w:rsidRDefault="009A7522" w:rsidP="00556DDC">
                          <w:pPr>
                            <w:jc w:val="right"/>
                            <w:rPr>
                              <w:rFonts w:ascii="Arial" w:hAnsi="Arial" w:cs="Arial"/>
                              <w:color w:val="CA415A"/>
                              <w:sz w:val="18"/>
                              <w:szCs w:val="18"/>
                              <w:lang w:val="de-AT"/>
                            </w:rPr>
                          </w:pPr>
                          <w:r>
                            <w:rPr>
                              <w:rFonts w:ascii="Arial" w:hAnsi="Arial" w:cs="Arial"/>
                              <w:color w:val="CA415A"/>
                              <w:sz w:val="18"/>
                              <w:szCs w:val="18"/>
                              <w:lang w:val="de-AT"/>
                            </w:rPr>
                            <w:t xml:space="preserve">PAGE </w:t>
                          </w:r>
                          <w:r>
                            <w:rPr>
                              <w:rFonts w:ascii="Arial" w:hAnsi="Arial" w:cs="Arial"/>
                              <w:color w:val="CA415A"/>
                              <w:sz w:val="18"/>
                              <w:szCs w:val="18"/>
                              <w:lang w:val="de-AT"/>
                            </w:rPr>
                            <w:fldChar w:fldCharType="begin"/>
                          </w:r>
                          <w:r>
                            <w:rPr>
                              <w:rFonts w:ascii="Arial" w:hAnsi="Arial" w:cs="Arial"/>
                              <w:color w:val="CA415A"/>
                              <w:sz w:val="18"/>
                              <w:szCs w:val="18"/>
                              <w:lang w:val="de-AT"/>
                            </w:rPr>
                            <w:instrText xml:space="preserve"> PAGE  \* MERGEFORMAT </w:instrText>
                          </w:r>
                          <w:r>
                            <w:rPr>
                              <w:rFonts w:ascii="Arial" w:hAnsi="Arial" w:cs="Arial"/>
                              <w:color w:val="CA415A"/>
                              <w:sz w:val="18"/>
                              <w:szCs w:val="18"/>
                              <w:lang w:val="de-AT"/>
                            </w:rPr>
                            <w:fldChar w:fldCharType="separate"/>
                          </w:r>
                          <w:r>
                            <w:rPr>
                              <w:rFonts w:ascii="Arial" w:hAnsi="Arial" w:cs="Arial"/>
                              <w:noProof/>
                              <w:color w:val="CA415A"/>
                              <w:sz w:val="18"/>
                              <w:szCs w:val="18"/>
                              <w:lang w:val="de-AT"/>
                            </w:rPr>
                            <w:t>1</w:t>
                          </w:r>
                          <w:r>
                            <w:rPr>
                              <w:rFonts w:ascii="Arial" w:hAnsi="Arial" w:cs="Arial"/>
                              <w:color w:val="CA415A"/>
                              <w:sz w:val="18"/>
                              <w:szCs w:val="18"/>
                              <w:lang w:val="de-AT"/>
                            </w:rPr>
                            <w:fldChar w:fldCharType="end"/>
                          </w:r>
                          <w:r>
                            <w:rPr>
                              <w:rFonts w:ascii="Arial" w:hAnsi="Arial" w:cs="Arial"/>
                              <w:color w:val="CA415A"/>
                              <w:sz w:val="18"/>
                              <w:szCs w:val="18"/>
                              <w:lang w:val="de-AT"/>
                            </w:rPr>
                            <w:t>/</w:t>
                          </w:r>
                          <w:r>
                            <w:rPr>
                              <w:rFonts w:ascii="Arial" w:hAnsi="Arial" w:cs="Arial"/>
                              <w:color w:val="CA415A"/>
                              <w:sz w:val="18"/>
                              <w:szCs w:val="18"/>
                              <w:lang w:val="de-AT"/>
                            </w:rPr>
                            <w:fldChar w:fldCharType="begin"/>
                          </w:r>
                          <w:r>
                            <w:rPr>
                              <w:rFonts w:ascii="Arial" w:hAnsi="Arial" w:cs="Arial"/>
                              <w:color w:val="CA415A"/>
                              <w:sz w:val="18"/>
                              <w:szCs w:val="18"/>
                              <w:lang w:val="de-AT"/>
                            </w:rPr>
                            <w:instrText xml:space="preserve"> NUMPAGES  \* MERGEFORMAT </w:instrText>
                          </w:r>
                          <w:r>
                            <w:rPr>
                              <w:rFonts w:ascii="Arial" w:hAnsi="Arial" w:cs="Arial"/>
                              <w:color w:val="CA415A"/>
                              <w:sz w:val="18"/>
                              <w:szCs w:val="18"/>
                              <w:lang w:val="de-AT"/>
                            </w:rPr>
                            <w:fldChar w:fldCharType="separate"/>
                          </w:r>
                          <w:r>
                            <w:rPr>
                              <w:rFonts w:ascii="Arial" w:hAnsi="Arial" w:cs="Arial"/>
                              <w:noProof/>
                              <w:color w:val="CA415A"/>
                              <w:sz w:val="18"/>
                              <w:szCs w:val="18"/>
                              <w:lang w:val="de-AT"/>
                            </w:rPr>
                            <w:t>10</w:t>
                          </w:r>
                          <w:r>
                            <w:rPr>
                              <w:rFonts w:ascii="Arial" w:hAnsi="Arial" w:cs="Arial"/>
                              <w:color w:val="CA415A"/>
                              <w:sz w:val="18"/>
                              <w:szCs w:val="18"/>
                              <w:lang w:val="de-AT"/>
                            </w:rPr>
                            <w:fldChar w:fldCharType="end"/>
                          </w:r>
                          <w:r>
                            <w:rPr>
                              <w:rFonts w:ascii="Arial" w:hAnsi="Arial" w:cs="Arial"/>
                              <w:color w:val="CA415A"/>
                              <w:sz w:val="18"/>
                              <w:szCs w:val="18"/>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26053C" id="_x0000_t202" coordsize="21600,21600" o:spt="202" path="m,l,21600r21600,l21600,xe">
              <v:stroke joinstyle="miter"/>
              <v:path gradientshapeok="t" o:connecttype="rect"/>
            </v:shapetype>
            <v:shape id="Textfeld 63" o:spid="_x0000_s1044" type="#_x0000_t202" style="position:absolute;left:0;text-align:left;margin-left:345.5pt;margin-top:10.45pt;width:99.55pt;height:20.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" filled="f" stroked="f" strokeweight=".5pt">
              <v:textbox>
                <w:txbxContent>
                  <w:p w14:paraId="10CF134B" w14:textId="70C8AB71" w:rsidR="009A7522" w:rsidRPr="00556DDC" w:rsidRDefault="009A7522" w:rsidP="00556DDC">
                    <w:pPr>
                      <w:jc w:val="right"/>
                      <w:rPr>
                        <w:rFonts w:ascii="Arial" w:hAnsi="Arial" w:cs="Arial"/>
                        <w:color w:val="CA415A"/>
                        <w:sz w:val="18"/>
                        <w:szCs w:val="18"/>
                        <w:lang w:val="de-AT"/>
                      </w:rPr>
                    </w:pPr>
                    <w:r>
                      <w:rPr>
                        <w:rFonts w:ascii="Arial" w:hAnsi="Arial" w:cs="Arial"/>
                        <w:color w:val="CA415A"/>
                        <w:sz w:val="18"/>
                        <w:szCs w:val="18"/>
                        <w:lang w:val="de-AT"/>
                      </w:rPr>
                      <w:t xml:space="preserve">PAGE </w:t>
                    </w:r>
                    <w:r>
                      <w:rPr>
                        <w:rFonts w:ascii="Arial" w:hAnsi="Arial" w:cs="Arial"/>
                        <w:color w:val="CA415A"/>
                        <w:sz w:val="18"/>
                        <w:szCs w:val="18"/>
                        <w:lang w:val="de-AT"/>
                      </w:rPr>
                      <w:fldChar w:fldCharType="begin"/>
                    </w:r>
                    <w:r>
                      <w:rPr>
                        <w:rFonts w:ascii="Arial" w:hAnsi="Arial" w:cs="Arial"/>
                        <w:color w:val="CA415A"/>
                        <w:sz w:val="18"/>
                        <w:szCs w:val="18"/>
                        <w:lang w:val="de-AT"/>
                      </w:rPr>
                      <w:instrText xml:space="preserve"> PAGE  \* MERGEFORMAT </w:instrText>
                    </w:r>
                    <w:r>
                      <w:rPr>
                        <w:rFonts w:ascii="Arial" w:hAnsi="Arial" w:cs="Arial"/>
                        <w:color w:val="CA415A"/>
                        <w:sz w:val="18"/>
                        <w:szCs w:val="18"/>
                        <w:lang w:val="de-AT"/>
                      </w:rPr>
                      <w:fldChar w:fldCharType="separate"/>
                    </w:r>
                    <w:r>
                      <w:rPr>
                        <w:rFonts w:ascii="Arial" w:hAnsi="Arial" w:cs="Arial"/>
                        <w:noProof/>
                        <w:color w:val="CA415A"/>
                        <w:sz w:val="18"/>
                        <w:szCs w:val="18"/>
                        <w:lang w:val="de-AT"/>
                      </w:rPr>
                      <w:t>1</w:t>
                    </w:r>
                    <w:r>
                      <w:rPr>
                        <w:rFonts w:ascii="Arial" w:hAnsi="Arial" w:cs="Arial"/>
                        <w:color w:val="CA415A"/>
                        <w:sz w:val="18"/>
                        <w:szCs w:val="18"/>
                        <w:lang w:val="de-AT"/>
                      </w:rPr>
                      <w:fldChar w:fldCharType="end"/>
                    </w:r>
                    <w:r>
                      <w:rPr>
                        <w:rFonts w:ascii="Arial" w:hAnsi="Arial" w:cs="Arial"/>
                        <w:color w:val="CA415A"/>
                        <w:sz w:val="18"/>
                        <w:szCs w:val="18"/>
                        <w:lang w:val="de-AT"/>
                      </w:rPr>
                      <w:t>/</w:t>
                    </w:r>
                    <w:r>
                      <w:rPr>
                        <w:rFonts w:ascii="Arial" w:hAnsi="Arial" w:cs="Arial"/>
                        <w:color w:val="CA415A"/>
                        <w:sz w:val="18"/>
                        <w:szCs w:val="18"/>
                        <w:lang w:val="de-AT"/>
                      </w:rPr>
                      <w:fldChar w:fldCharType="begin"/>
                    </w:r>
                    <w:r>
                      <w:rPr>
                        <w:rFonts w:ascii="Arial" w:hAnsi="Arial" w:cs="Arial"/>
                        <w:color w:val="CA415A"/>
                        <w:sz w:val="18"/>
                        <w:szCs w:val="18"/>
                        <w:lang w:val="de-AT"/>
                      </w:rPr>
                      <w:instrText xml:space="preserve"> NUMPAGES  \* MERGEFORMAT </w:instrText>
                    </w:r>
                    <w:r>
                      <w:rPr>
                        <w:rFonts w:ascii="Arial" w:hAnsi="Arial" w:cs="Arial"/>
                        <w:color w:val="CA415A"/>
                        <w:sz w:val="18"/>
                        <w:szCs w:val="18"/>
                        <w:lang w:val="de-AT"/>
                      </w:rPr>
                      <w:fldChar w:fldCharType="separate"/>
                    </w:r>
                    <w:r>
                      <w:rPr>
                        <w:rFonts w:ascii="Arial" w:hAnsi="Arial" w:cs="Arial"/>
                        <w:noProof/>
                        <w:color w:val="CA415A"/>
                        <w:sz w:val="18"/>
                        <w:szCs w:val="18"/>
                        <w:lang w:val="de-AT"/>
                      </w:rPr>
                      <w:t>10</w:t>
                    </w:r>
                    <w:r>
                      <w:rPr>
                        <w:rFonts w:ascii="Arial" w:hAnsi="Arial" w:cs="Arial"/>
                        <w:color w:val="CA415A"/>
                        <w:sz w:val="18"/>
                        <w:szCs w:val="18"/>
                        <w:lang w:val="de-AT"/>
                      </w:rPr>
                      <w:fldChar w:fldCharType="end"/>
                    </w:r>
                    <w:r>
                      <w:rPr>
                        <w:rFonts w:ascii="Arial" w:hAnsi="Arial" w:cs="Arial"/>
                        <w:color w:val="CA415A"/>
                        <w:sz w:val="18"/>
                        <w:szCs w:val="18"/>
                        <w:lang w:val="de-AT"/>
                      </w:rPr>
                      <w:t xml:space="preserve">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0C4DE72" wp14:editId="58C2A921">
              <wp:simplePos x="0" y="0"/>
              <wp:positionH relativeFrom="column">
                <wp:posOffset>2094865</wp:posOffset>
              </wp:positionH>
              <wp:positionV relativeFrom="paragraph">
                <wp:posOffset>135255</wp:posOffset>
              </wp:positionV>
              <wp:extent cx="1264285" cy="262647"/>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264285" cy="262647"/>
                      </a:xfrm>
                      <a:prstGeom prst="rect">
                        <a:avLst/>
                      </a:prstGeom>
                      <a:noFill/>
                      <a:ln w="6350">
                        <a:noFill/>
                      </a:ln>
                    </wps:spPr>
                    <wps:txbx>
                      <w:txbxContent>
                        <w:p w14:paraId="2318EDCC" w14:textId="11EE1266" w:rsidR="009A7522" w:rsidRPr="00556DDC" w:rsidRDefault="009A7522" w:rsidP="00556DDC">
                          <w:pPr>
                            <w:jc w:val="center"/>
                            <w:rPr>
                              <w:rFonts w:ascii="Arial" w:hAnsi="Arial" w:cs="Arial"/>
                              <w:color w:val="CA415A"/>
                              <w:sz w:val="18"/>
                              <w:szCs w:val="18"/>
                              <w:lang w:val="de-AT"/>
                            </w:rPr>
                          </w:pPr>
                          <w:r w:rsidRPr="00556DDC">
                            <w:rPr>
                              <w:rFonts w:ascii="Arial" w:hAnsi="Arial" w:cs="Arial"/>
                              <w:color w:val="CA415A"/>
                              <w:sz w:val="18"/>
                              <w:szCs w:val="18"/>
                              <w:lang w:val="de-AT"/>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4DE72" id="Textfeld 62" o:spid="_x0000_s1045" type="#_x0000_t202" style="position:absolute;left:0;text-align:left;margin-left:164.95pt;margin-top:10.65pt;width:99.55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" filled="f" stroked="f" strokeweight=".5pt">
              <v:textbox>
                <w:txbxContent>
                  <w:p w14:paraId="2318EDCC" w14:textId="11EE1266" w:rsidR="009A7522" w:rsidRPr="00556DDC" w:rsidRDefault="009A7522" w:rsidP="00556DDC">
                    <w:pPr>
                      <w:jc w:val="center"/>
                      <w:rPr>
                        <w:rFonts w:ascii="Arial" w:hAnsi="Arial" w:cs="Arial"/>
                        <w:color w:val="CA415A"/>
                        <w:sz w:val="18"/>
                        <w:szCs w:val="18"/>
                        <w:lang w:val="de-AT"/>
                      </w:rPr>
                    </w:pPr>
                    <w:r w:rsidRPr="00556DDC">
                      <w:rPr>
                        <w:rFonts w:ascii="Arial" w:hAnsi="Arial" w:cs="Arial"/>
                        <w:color w:val="CA415A"/>
                        <w:sz w:val="18"/>
                        <w:szCs w:val="18"/>
                        <w:lang w:val="de-AT"/>
                      </w:rPr>
                      <w:t>REPORT</w:t>
                    </w:r>
                  </w:p>
                </w:txbxContent>
              </v:textbox>
            </v:shape>
          </w:pict>
        </mc:Fallback>
      </mc:AlternateContent>
    </w:r>
    <w:r>
      <w:ptab w:relativeTo="margin" w:alignment="center" w:leader="none"/>
    </w:r>
  </w:p>
  <w:p w14:paraId="14E26655" w14:textId="4EA80FF2" w:rsidR="009A7522" w:rsidRDefault="009A7522"/>
  <w:p w14:paraId="14F94BB7" w14:textId="270B6507" w:rsidR="009A7522" w:rsidRDefault="009A75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1874C" w14:textId="77777777" w:rsidR="00CD586D" w:rsidRDefault="00CD586D" w:rsidP="000424E2">
      <w:r>
        <w:separator/>
      </w:r>
    </w:p>
  </w:footnote>
  <w:footnote w:type="continuationSeparator" w:id="0">
    <w:p w14:paraId="413C09D4" w14:textId="77777777" w:rsidR="00CD586D" w:rsidRDefault="00CD586D" w:rsidP="0004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54FF5" w14:textId="49374347" w:rsidR="009A7522" w:rsidRDefault="009A7522">
    <w:pPr>
      <w:pStyle w:val="Kopfzeile"/>
    </w:pPr>
    <w:r>
      <w:rPr>
        <w:noProof/>
      </w:rPr>
      <w:drawing>
        <wp:anchor distT="0" distB="0" distL="114300" distR="114300" simplePos="0" relativeHeight="251658240" behindDoc="1" locked="0" layoutInCell="1" allowOverlap="1" wp14:anchorId="681CC4BF" wp14:editId="6CB1A291">
          <wp:simplePos x="0" y="0"/>
          <wp:positionH relativeFrom="page">
            <wp:posOffset>0</wp:posOffset>
          </wp:positionH>
          <wp:positionV relativeFrom="page">
            <wp:posOffset>0</wp:posOffset>
          </wp:positionV>
          <wp:extent cx="7560000" cy="10684800"/>
          <wp:effectExtent l="0" t="0" r="0" b="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ANM_2018_FM_Repport_Lancet_L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6C19D90B" w14:textId="77777777" w:rsidR="009A7522" w:rsidRDefault="009A7522"/>
  <w:p w14:paraId="50D7F6E0" w14:textId="77777777" w:rsidR="009A7522" w:rsidRDefault="009A75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01E8B"/>
    <w:multiLevelType w:val="hybridMultilevel"/>
    <w:tmpl w:val="DD6C1708"/>
    <w:lvl w:ilvl="0" w:tplc="EBF4B798">
      <w:start w:val="1"/>
      <w:numFmt w:val="decimal"/>
      <w:lvlText w:val="%1"/>
      <w:lvlJc w:val="left"/>
      <w:pPr>
        <w:ind w:left="469" w:hanging="284"/>
        <w:jc w:val="right"/>
      </w:pPr>
      <w:rPr>
        <w:rFonts w:ascii="Georgia" w:eastAsia="Georgia" w:hAnsi="Georgia" w:cs="Georgia" w:hint="default"/>
        <w:w w:val="94"/>
        <w:sz w:val="14"/>
        <w:szCs w:val="14"/>
        <w:lang w:val="en-GB" w:eastAsia="en-GB" w:bidi="en-GB"/>
      </w:rPr>
    </w:lvl>
    <w:lvl w:ilvl="1" w:tplc="CA3ABF36">
      <w:numFmt w:val="bullet"/>
      <w:lvlText w:val="•"/>
      <w:lvlJc w:val="left"/>
      <w:pPr>
        <w:ind w:left="1052" w:hanging="284"/>
      </w:pPr>
      <w:rPr>
        <w:rFonts w:hint="default"/>
        <w:lang w:val="en-GB" w:eastAsia="en-GB" w:bidi="en-GB"/>
      </w:rPr>
    </w:lvl>
    <w:lvl w:ilvl="2" w:tplc="06D6AE68">
      <w:numFmt w:val="bullet"/>
      <w:lvlText w:val="•"/>
      <w:lvlJc w:val="left"/>
      <w:pPr>
        <w:ind w:left="1645" w:hanging="284"/>
      </w:pPr>
      <w:rPr>
        <w:rFonts w:hint="default"/>
        <w:lang w:val="en-GB" w:eastAsia="en-GB" w:bidi="en-GB"/>
      </w:rPr>
    </w:lvl>
    <w:lvl w:ilvl="3" w:tplc="4A4EFA7E">
      <w:numFmt w:val="bullet"/>
      <w:lvlText w:val="•"/>
      <w:lvlJc w:val="left"/>
      <w:pPr>
        <w:ind w:left="2238" w:hanging="284"/>
      </w:pPr>
      <w:rPr>
        <w:rFonts w:hint="default"/>
        <w:lang w:val="en-GB" w:eastAsia="en-GB" w:bidi="en-GB"/>
      </w:rPr>
    </w:lvl>
    <w:lvl w:ilvl="4" w:tplc="5DBA392C">
      <w:numFmt w:val="bullet"/>
      <w:lvlText w:val="•"/>
      <w:lvlJc w:val="left"/>
      <w:pPr>
        <w:ind w:left="2831" w:hanging="284"/>
      </w:pPr>
      <w:rPr>
        <w:rFonts w:hint="default"/>
        <w:lang w:val="en-GB" w:eastAsia="en-GB" w:bidi="en-GB"/>
      </w:rPr>
    </w:lvl>
    <w:lvl w:ilvl="5" w:tplc="ACB89164">
      <w:numFmt w:val="bullet"/>
      <w:lvlText w:val="•"/>
      <w:lvlJc w:val="left"/>
      <w:pPr>
        <w:ind w:left="3423" w:hanging="284"/>
      </w:pPr>
      <w:rPr>
        <w:rFonts w:hint="default"/>
        <w:lang w:val="en-GB" w:eastAsia="en-GB" w:bidi="en-GB"/>
      </w:rPr>
    </w:lvl>
    <w:lvl w:ilvl="6" w:tplc="2778B33C">
      <w:numFmt w:val="bullet"/>
      <w:lvlText w:val="•"/>
      <w:lvlJc w:val="left"/>
      <w:pPr>
        <w:ind w:left="4016" w:hanging="284"/>
      </w:pPr>
      <w:rPr>
        <w:rFonts w:hint="default"/>
        <w:lang w:val="en-GB" w:eastAsia="en-GB" w:bidi="en-GB"/>
      </w:rPr>
    </w:lvl>
    <w:lvl w:ilvl="7" w:tplc="7F0A23E8">
      <w:numFmt w:val="bullet"/>
      <w:lvlText w:val="•"/>
      <w:lvlJc w:val="left"/>
      <w:pPr>
        <w:ind w:left="4609" w:hanging="284"/>
      </w:pPr>
      <w:rPr>
        <w:rFonts w:hint="default"/>
        <w:lang w:val="en-GB" w:eastAsia="en-GB" w:bidi="en-GB"/>
      </w:rPr>
    </w:lvl>
    <w:lvl w:ilvl="8" w:tplc="BE16EBD4">
      <w:numFmt w:val="bullet"/>
      <w:lvlText w:val="•"/>
      <w:lvlJc w:val="left"/>
      <w:pPr>
        <w:ind w:left="5202" w:hanging="284"/>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BBD"/>
    <w:rsid w:val="000424E2"/>
    <w:rsid w:val="00062074"/>
    <w:rsid w:val="000F1942"/>
    <w:rsid w:val="00146815"/>
    <w:rsid w:val="0016533D"/>
    <w:rsid w:val="00170BBD"/>
    <w:rsid w:val="001F431D"/>
    <w:rsid w:val="0022053D"/>
    <w:rsid w:val="00245612"/>
    <w:rsid w:val="002A7FE5"/>
    <w:rsid w:val="002E5E0C"/>
    <w:rsid w:val="002F264C"/>
    <w:rsid w:val="003E6188"/>
    <w:rsid w:val="003F3D55"/>
    <w:rsid w:val="004152B3"/>
    <w:rsid w:val="00462171"/>
    <w:rsid w:val="004877BD"/>
    <w:rsid w:val="004A3FB1"/>
    <w:rsid w:val="00556DDC"/>
    <w:rsid w:val="0058647F"/>
    <w:rsid w:val="005C1766"/>
    <w:rsid w:val="005C285C"/>
    <w:rsid w:val="005D5D92"/>
    <w:rsid w:val="0068072A"/>
    <w:rsid w:val="006C3C27"/>
    <w:rsid w:val="006D4107"/>
    <w:rsid w:val="006D4953"/>
    <w:rsid w:val="0073203B"/>
    <w:rsid w:val="00796DA4"/>
    <w:rsid w:val="00830C38"/>
    <w:rsid w:val="008452A7"/>
    <w:rsid w:val="008578D3"/>
    <w:rsid w:val="008F699F"/>
    <w:rsid w:val="0092581F"/>
    <w:rsid w:val="00932509"/>
    <w:rsid w:val="009A568C"/>
    <w:rsid w:val="009A7522"/>
    <w:rsid w:val="00A37574"/>
    <w:rsid w:val="00A4009D"/>
    <w:rsid w:val="00A425C6"/>
    <w:rsid w:val="00A502AA"/>
    <w:rsid w:val="00A82A9B"/>
    <w:rsid w:val="00A87AD2"/>
    <w:rsid w:val="00AC2D84"/>
    <w:rsid w:val="00AE31CE"/>
    <w:rsid w:val="00AF1233"/>
    <w:rsid w:val="00B75F61"/>
    <w:rsid w:val="00BF6124"/>
    <w:rsid w:val="00C110DE"/>
    <w:rsid w:val="00C81D0F"/>
    <w:rsid w:val="00C84FDB"/>
    <w:rsid w:val="00C94E0E"/>
    <w:rsid w:val="00CB2685"/>
    <w:rsid w:val="00CD586D"/>
    <w:rsid w:val="00CE3C17"/>
    <w:rsid w:val="00D751C9"/>
    <w:rsid w:val="00DB1691"/>
    <w:rsid w:val="00DF6988"/>
    <w:rsid w:val="00E35DD2"/>
    <w:rsid w:val="00E8013F"/>
    <w:rsid w:val="00F60DD4"/>
    <w:rsid w:val="00F8287D"/>
    <w:rsid w:val="00FC01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F37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uiPriority w:val="1"/>
    <w:qFormat/>
  </w:style>
  <w:style w:type="paragraph" w:styleId="berschrift1">
    <w:name w:val="heading 1"/>
    <w:basedOn w:val="Standard"/>
    <w:link w:val="berschrift1Zchn"/>
    <w:uiPriority w:val="9"/>
    <w:qFormat/>
    <w:pPr>
      <w:outlineLvl w:val="0"/>
    </w:pPr>
    <w:rPr>
      <w:rFonts w:ascii="MyriadPro-Semibold" w:eastAsia="MyriadPro-Semibold" w:hAnsi="MyriadPro-Semibold"/>
      <w:b/>
      <w:bCs/>
      <w:sz w:val="32"/>
      <w:szCs w:val="32"/>
    </w:rPr>
  </w:style>
  <w:style w:type="paragraph" w:styleId="berschrift2">
    <w:name w:val="heading 2"/>
    <w:basedOn w:val="Standard"/>
    <w:next w:val="Standard"/>
    <w:link w:val="berschrift2Zchn"/>
    <w:uiPriority w:val="9"/>
    <w:unhideWhenUsed/>
    <w:qFormat/>
    <w:rsid w:val="00BF612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rFonts w:ascii="Myriad Pro Light" w:eastAsia="Myriad Pro Light" w:hAnsi="Myriad Pro Light"/>
      <w:sz w:val="14"/>
      <w:szCs w:val="1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0424E2"/>
    <w:pPr>
      <w:tabs>
        <w:tab w:val="center" w:pos="4536"/>
        <w:tab w:val="right" w:pos="9072"/>
      </w:tabs>
    </w:pPr>
  </w:style>
  <w:style w:type="character" w:customStyle="1" w:styleId="KopfzeileZchn">
    <w:name w:val="Kopfzeile Zchn"/>
    <w:basedOn w:val="Absatz-Standardschriftart"/>
    <w:link w:val="Kopfzeile"/>
    <w:uiPriority w:val="99"/>
    <w:rsid w:val="000424E2"/>
  </w:style>
  <w:style w:type="paragraph" w:styleId="Fuzeile">
    <w:name w:val="footer"/>
    <w:basedOn w:val="Standard"/>
    <w:link w:val="FuzeileZchn"/>
    <w:uiPriority w:val="99"/>
    <w:unhideWhenUsed/>
    <w:rsid w:val="000424E2"/>
    <w:pPr>
      <w:tabs>
        <w:tab w:val="center" w:pos="4536"/>
        <w:tab w:val="right" w:pos="9072"/>
      </w:tabs>
    </w:pPr>
  </w:style>
  <w:style w:type="character" w:customStyle="1" w:styleId="FuzeileZchn">
    <w:name w:val="Fußzeile Zchn"/>
    <w:basedOn w:val="Absatz-Standardschriftart"/>
    <w:link w:val="Fuzeile"/>
    <w:uiPriority w:val="99"/>
    <w:rsid w:val="000424E2"/>
  </w:style>
  <w:style w:type="paragraph" w:styleId="KeinLeerraum">
    <w:name w:val="No Spacing"/>
    <w:uiPriority w:val="1"/>
    <w:qFormat/>
    <w:rsid w:val="006C3C27"/>
    <w:pPr>
      <w:widowControl/>
    </w:pPr>
    <w:rPr>
      <w:rFonts w:eastAsiaTheme="minorEastAsia"/>
      <w:lang w:eastAsia="zh-CN"/>
    </w:rPr>
  </w:style>
  <w:style w:type="character" w:styleId="Seitenzahl">
    <w:name w:val="page number"/>
    <w:basedOn w:val="Absatz-Standardschriftart"/>
    <w:uiPriority w:val="99"/>
    <w:semiHidden/>
    <w:unhideWhenUsed/>
    <w:rsid w:val="006C3C27"/>
  </w:style>
  <w:style w:type="character" w:customStyle="1" w:styleId="berschrift2Zchn">
    <w:name w:val="Überschrift 2 Zchn"/>
    <w:basedOn w:val="Absatz-Standardschriftart"/>
    <w:link w:val="berschrift2"/>
    <w:uiPriority w:val="9"/>
    <w:rsid w:val="00BF6124"/>
    <w:rPr>
      <w:rFonts w:asciiTheme="majorHAnsi" w:eastAsiaTheme="majorEastAsia" w:hAnsiTheme="majorHAnsi" w:cstheme="majorBidi"/>
      <w:color w:val="365F91" w:themeColor="accent1" w:themeShade="BF"/>
      <w:sz w:val="26"/>
      <w:szCs w:val="26"/>
    </w:rPr>
  </w:style>
  <w:style w:type="paragraph" w:customStyle="1" w:styleId="FliesstextSpalten">
    <w:name w:val="Fliesstext Spalten"/>
    <w:basedOn w:val="Standard"/>
    <w:uiPriority w:val="1"/>
    <w:qFormat/>
    <w:rsid w:val="00C94E0E"/>
    <w:pPr>
      <w:autoSpaceDE w:val="0"/>
      <w:autoSpaceDN w:val="0"/>
      <w:spacing w:before="8" w:line="240" w:lineRule="exact"/>
      <w:ind w:firstLine="142"/>
      <w:jc w:val="both"/>
    </w:pPr>
    <w:rPr>
      <w:rFonts w:ascii="Georgia" w:eastAsia="Georgia" w:hAnsi="Georgia" w:cs="Georgia"/>
      <w:sz w:val="18"/>
      <w:szCs w:val="18"/>
      <w:lang w:val="en-GB" w:eastAsia="en-GB" w:bidi="en-GB"/>
    </w:rPr>
  </w:style>
  <w:style w:type="paragraph" w:customStyle="1" w:styleId="Headlines">
    <w:name w:val="Headlines"/>
    <w:basedOn w:val="FliesstextSpalten"/>
    <w:uiPriority w:val="1"/>
    <w:qFormat/>
    <w:rsid w:val="00DF6988"/>
    <w:rPr>
      <w:rFonts w:ascii="Arial" w:eastAsia="Arial" w:hAnsi="Arial" w:cs="Arial"/>
      <w:b/>
      <w:bCs/>
      <w:color w:val="CA415A"/>
      <w:sz w:val="22"/>
      <w:szCs w:val="19"/>
    </w:rPr>
  </w:style>
  <w:style w:type="paragraph" w:customStyle="1" w:styleId="Headline-SUB">
    <w:name w:val="Headline - SUB"/>
    <w:basedOn w:val="FliesstextSpalten"/>
    <w:uiPriority w:val="1"/>
    <w:qFormat/>
    <w:rsid w:val="00C94E0E"/>
    <w:pPr>
      <w:ind w:firstLine="0"/>
    </w:pPr>
    <w:rPr>
      <w:rFonts w:ascii="Arial" w:hAnsi="Arial" w:cs="Arial"/>
      <w:b/>
    </w:rPr>
  </w:style>
  <w:style w:type="paragraph" w:customStyle="1" w:styleId="EinfAbs">
    <w:name w:val="[Einf. Abs.]"/>
    <w:basedOn w:val="Standard"/>
    <w:uiPriority w:val="99"/>
    <w:rsid w:val="00C81D0F"/>
    <w:pPr>
      <w:widowControl/>
      <w:autoSpaceDE w:val="0"/>
      <w:autoSpaceDN w:val="0"/>
      <w:adjustRightInd w:val="0"/>
      <w:spacing w:line="288" w:lineRule="auto"/>
      <w:textAlignment w:val="center"/>
    </w:pPr>
    <w:rPr>
      <w:rFonts w:ascii="Minion Pro" w:hAnsi="Minion Pro" w:cs="Minion Pro"/>
      <w:color w:val="000000"/>
      <w:sz w:val="24"/>
      <w:szCs w:val="24"/>
      <w:lang w:val="de-DE"/>
    </w:rPr>
  </w:style>
  <w:style w:type="table" w:customStyle="1" w:styleId="TableNormal1">
    <w:name w:val="Table Normal1"/>
    <w:uiPriority w:val="2"/>
    <w:semiHidden/>
    <w:unhideWhenUsed/>
    <w:qFormat/>
    <w:rsid w:val="00D751C9"/>
    <w:pPr>
      <w:autoSpaceDE w:val="0"/>
      <w:autoSpaceDN w:val="0"/>
    </w:pPr>
    <w:tblPr>
      <w:tblInd w:w="0" w:type="dxa"/>
      <w:tblCellMar>
        <w:top w:w="0" w:type="dxa"/>
        <w:left w:w="0" w:type="dxa"/>
        <w:bottom w:w="0" w:type="dxa"/>
        <w:right w:w="0" w:type="dxa"/>
      </w:tblCellMar>
    </w:tblPr>
  </w:style>
  <w:style w:type="character" w:styleId="Hyperlink">
    <w:name w:val="Hyperlink"/>
    <w:basedOn w:val="Absatz-Standardschriftart"/>
    <w:uiPriority w:val="99"/>
    <w:unhideWhenUsed/>
    <w:rsid w:val="000F1942"/>
    <w:rPr>
      <w:color w:val="0000FF" w:themeColor="hyperlink"/>
      <w:u w:val="single"/>
    </w:rPr>
  </w:style>
  <w:style w:type="character" w:styleId="NichtaufgelsteErwhnung">
    <w:name w:val="Unresolved Mention"/>
    <w:basedOn w:val="Absatz-Standardschriftart"/>
    <w:uiPriority w:val="99"/>
    <w:rsid w:val="000F1942"/>
    <w:rPr>
      <w:color w:val="605E5C"/>
      <w:shd w:val="clear" w:color="auto" w:fill="E1DFDD"/>
    </w:rPr>
  </w:style>
  <w:style w:type="character" w:customStyle="1" w:styleId="berschrift1Zchn">
    <w:name w:val="Überschrift 1 Zchn"/>
    <w:basedOn w:val="Absatz-Standardschriftart"/>
    <w:link w:val="berschrift1"/>
    <w:uiPriority w:val="9"/>
    <w:rsid w:val="0068072A"/>
    <w:rPr>
      <w:rFonts w:ascii="MyriadPro-Semibold" w:eastAsia="MyriadPro-Semibold" w:hAnsi="MyriadPro-Semibold"/>
      <w:b/>
      <w:bCs/>
      <w:sz w:val="32"/>
      <w:szCs w:val="32"/>
    </w:rPr>
  </w:style>
  <w:style w:type="character" w:customStyle="1" w:styleId="TextkrperZchn">
    <w:name w:val="Textkörper Zchn"/>
    <w:basedOn w:val="Absatz-Standardschriftart"/>
    <w:link w:val="Textkrper"/>
    <w:uiPriority w:val="1"/>
    <w:rsid w:val="0068072A"/>
    <w:rPr>
      <w:rFonts w:ascii="Myriad Pro Light" w:eastAsia="Myriad Pro Light" w:hAnsi="Myriad Pro Light"/>
      <w:sz w:val="14"/>
      <w:szCs w:val="14"/>
    </w:rPr>
  </w:style>
  <w:style w:type="character" w:styleId="BesuchterLink">
    <w:name w:val="FollowedHyperlink"/>
    <w:basedOn w:val="Absatz-Standardschriftart"/>
    <w:uiPriority w:val="99"/>
    <w:semiHidden/>
    <w:unhideWhenUsed/>
    <w:rsid w:val="006807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57674">
      <w:bodyDiv w:val="1"/>
      <w:marLeft w:val="0"/>
      <w:marRight w:val="0"/>
      <w:marTop w:val="0"/>
      <w:marBottom w:val="0"/>
      <w:divBdr>
        <w:top w:val="none" w:sz="0" w:space="0" w:color="auto"/>
        <w:left w:val="none" w:sz="0" w:space="0" w:color="auto"/>
        <w:bottom w:val="none" w:sz="0" w:space="0" w:color="auto"/>
        <w:right w:val="none" w:sz="0" w:space="0" w:color="auto"/>
      </w:divBdr>
    </w:div>
    <w:div w:id="272595557">
      <w:bodyDiv w:val="1"/>
      <w:marLeft w:val="0"/>
      <w:marRight w:val="0"/>
      <w:marTop w:val="0"/>
      <w:marBottom w:val="0"/>
      <w:divBdr>
        <w:top w:val="none" w:sz="0" w:space="0" w:color="auto"/>
        <w:left w:val="none" w:sz="0" w:space="0" w:color="auto"/>
        <w:bottom w:val="none" w:sz="0" w:space="0" w:color="auto"/>
        <w:right w:val="none" w:sz="0" w:space="0" w:color="auto"/>
      </w:divBdr>
    </w:div>
    <w:div w:id="377823428">
      <w:bodyDiv w:val="1"/>
      <w:marLeft w:val="0"/>
      <w:marRight w:val="0"/>
      <w:marTop w:val="0"/>
      <w:marBottom w:val="0"/>
      <w:divBdr>
        <w:top w:val="none" w:sz="0" w:space="0" w:color="auto"/>
        <w:left w:val="none" w:sz="0" w:space="0" w:color="auto"/>
        <w:bottom w:val="none" w:sz="0" w:space="0" w:color="auto"/>
        <w:right w:val="none" w:sz="0" w:space="0" w:color="auto"/>
      </w:divBdr>
    </w:div>
    <w:div w:id="380205079">
      <w:bodyDiv w:val="1"/>
      <w:marLeft w:val="0"/>
      <w:marRight w:val="0"/>
      <w:marTop w:val="0"/>
      <w:marBottom w:val="0"/>
      <w:divBdr>
        <w:top w:val="none" w:sz="0" w:space="0" w:color="auto"/>
        <w:left w:val="none" w:sz="0" w:space="0" w:color="auto"/>
        <w:bottom w:val="none" w:sz="0" w:space="0" w:color="auto"/>
        <w:right w:val="none" w:sz="0" w:space="0" w:color="auto"/>
      </w:divBdr>
    </w:div>
    <w:div w:id="627586111">
      <w:bodyDiv w:val="1"/>
      <w:marLeft w:val="0"/>
      <w:marRight w:val="0"/>
      <w:marTop w:val="0"/>
      <w:marBottom w:val="0"/>
      <w:divBdr>
        <w:top w:val="none" w:sz="0" w:space="0" w:color="auto"/>
        <w:left w:val="none" w:sz="0" w:space="0" w:color="auto"/>
        <w:bottom w:val="none" w:sz="0" w:space="0" w:color="auto"/>
        <w:right w:val="none" w:sz="0" w:space="0" w:color="auto"/>
      </w:divBdr>
    </w:div>
    <w:div w:id="1025249616">
      <w:bodyDiv w:val="1"/>
      <w:marLeft w:val="0"/>
      <w:marRight w:val="0"/>
      <w:marTop w:val="0"/>
      <w:marBottom w:val="0"/>
      <w:divBdr>
        <w:top w:val="none" w:sz="0" w:space="0" w:color="auto"/>
        <w:left w:val="none" w:sz="0" w:space="0" w:color="auto"/>
        <w:bottom w:val="none" w:sz="0" w:space="0" w:color="auto"/>
        <w:right w:val="none" w:sz="0" w:space="0" w:color="auto"/>
      </w:divBdr>
    </w:div>
    <w:div w:id="1035541947">
      <w:bodyDiv w:val="1"/>
      <w:marLeft w:val="0"/>
      <w:marRight w:val="0"/>
      <w:marTop w:val="0"/>
      <w:marBottom w:val="0"/>
      <w:divBdr>
        <w:top w:val="none" w:sz="0" w:space="0" w:color="auto"/>
        <w:left w:val="none" w:sz="0" w:space="0" w:color="auto"/>
        <w:bottom w:val="none" w:sz="0" w:space="0" w:color="auto"/>
        <w:right w:val="none" w:sz="0" w:space="0" w:color="auto"/>
      </w:divBdr>
    </w:div>
    <w:div w:id="1060716340">
      <w:bodyDiv w:val="1"/>
      <w:marLeft w:val="0"/>
      <w:marRight w:val="0"/>
      <w:marTop w:val="0"/>
      <w:marBottom w:val="0"/>
      <w:divBdr>
        <w:top w:val="none" w:sz="0" w:space="0" w:color="auto"/>
        <w:left w:val="none" w:sz="0" w:space="0" w:color="auto"/>
        <w:bottom w:val="none" w:sz="0" w:space="0" w:color="auto"/>
        <w:right w:val="none" w:sz="0" w:space="0" w:color="auto"/>
      </w:divBdr>
    </w:div>
    <w:div w:id="1176311288">
      <w:bodyDiv w:val="1"/>
      <w:marLeft w:val="0"/>
      <w:marRight w:val="0"/>
      <w:marTop w:val="0"/>
      <w:marBottom w:val="0"/>
      <w:divBdr>
        <w:top w:val="none" w:sz="0" w:space="0" w:color="auto"/>
        <w:left w:val="none" w:sz="0" w:space="0" w:color="auto"/>
        <w:bottom w:val="none" w:sz="0" w:space="0" w:color="auto"/>
        <w:right w:val="none" w:sz="0" w:space="0" w:color="auto"/>
      </w:divBdr>
    </w:div>
    <w:div w:id="1230189510">
      <w:bodyDiv w:val="1"/>
      <w:marLeft w:val="0"/>
      <w:marRight w:val="0"/>
      <w:marTop w:val="0"/>
      <w:marBottom w:val="0"/>
      <w:divBdr>
        <w:top w:val="none" w:sz="0" w:space="0" w:color="auto"/>
        <w:left w:val="none" w:sz="0" w:space="0" w:color="auto"/>
        <w:bottom w:val="none" w:sz="0" w:space="0" w:color="auto"/>
        <w:right w:val="none" w:sz="0" w:space="0" w:color="auto"/>
      </w:divBdr>
    </w:div>
    <w:div w:id="1328512570">
      <w:bodyDiv w:val="1"/>
      <w:marLeft w:val="0"/>
      <w:marRight w:val="0"/>
      <w:marTop w:val="0"/>
      <w:marBottom w:val="0"/>
      <w:divBdr>
        <w:top w:val="none" w:sz="0" w:space="0" w:color="auto"/>
        <w:left w:val="none" w:sz="0" w:space="0" w:color="auto"/>
        <w:bottom w:val="none" w:sz="0" w:space="0" w:color="auto"/>
        <w:right w:val="none" w:sz="0" w:space="0" w:color="auto"/>
      </w:divBdr>
    </w:div>
    <w:div w:id="1628200747">
      <w:bodyDiv w:val="1"/>
      <w:marLeft w:val="0"/>
      <w:marRight w:val="0"/>
      <w:marTop w:val="0"/>
      <w:marBottom w:val="0"/>
      <w:divBdr>
        <w:top w:val="none" w:sz="0" w:space="0" w:color="auto"/>
        <w:left w:val="none" w:sz="0" w:space="0" w:color="auto"/>
        <w:bottom w:val="none" w:sz="0" w:space="0" w:color="auto"/>
        <w:right w:val="none" w:sz="0" w:space="0" w:color="auto"/>
      </w:divBdr>
    </w:div>
    <w:div w:id="1761291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uroweb/"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nd.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globocan.iarc.fr/Pages/fact_sheets_cancer.aspx"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10709</Words>
  <Characters>67468</Characters>
  <Application>Microsoft Office Word</Application>
  <DocSecurity>0</DocSecurity>
  <Lines>562</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Robert Punz</cp:lastModifiedBy>
  <cp:revision>12</cp:revision>
  <cp:lastPrinted>2016-10-25T14:05:00Z</cp:lastPrinted>
  <dcterms:created xsi:type="dcterms:W3CDTF">2018-12-11T12:07:00Z</dcterms:created>
  <dcterms:modified xsi:type="dcterms:W3CDTF">2018-12-12T09:07:00Z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2016-05-19T00:00:00Z</vt:filetime>
  </property>
  <property fmtid="{D5CDD505-2E9C-101B-9397-08002B2CF9AE}" pid="3" name="Creator">
    <vt:lpwstr>Adobe InDesign CC 2015 (Macintosh)</vt:lpwstr>
  </property>
  <property fmtid="{D5CDD505-2E9C-101B-9397-08002B2CF9AE}" pid="4" name="LastSaved">
    <vt:filetime>2016-05-19T00:00:00Z</vt:filetime>
  </property>
</Properties>
</file>